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503778</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Wuhan, Hubei, China, 07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11</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April, 2025</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24</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requirements for A-IoT</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#107 meeting, the revised WID on Solutions for Ambient IoT (Internet of Things) in NR was approved [1]. According to the WID, the objectives of RAN4 scope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06A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1FAD0BE">
            <w:pPr>
              <w:numPr>
                <w:ilvl w:val="0"/>
                <w:numId w:val="3"/>
              </w:numPr>
              <w:spacing w:after="120"/>
              <w:ind w:right="-96"/>
              <w:jc w:val="both"/>
              <w:rPr>
                <w:rFonts w:hint="default" w:ascii="Times New Roman" w:hAnsi="Times New Roman" w:eastAsia="宋体" w:cs="Times New Roman"/>
                <w:sz w:val="20"/>
                <w:szCs w:val="20"/>
                <w:lang w:val="en-US" w:eastAsia="ja-JP"/>
              </w:rPr>
            </w:pPr>
            <w:r>
              <w:rPr>
                <w:rFonts w:hint="default" w:ascii="Times New Roman" w:hAnsi="Times New Roman" w:eastAsia="宋体" w:cs="Times New Roman"/>
                <w:sz w:val="20"/>
                <w:szCs w:val="20"/>
                <w:lang w:val="en-US" w:eastAsia="ja-JP"/>
              </w:rPr>
              <w:t>RAN4 scope:</w:t>
            </w:r>
          </w:p>
          <w:p w14:paraId="5931C61B">
            <w:pPr>
              <w:numPr>
                <w:ilvl w:val="1"/>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Specify RF requirements for Ambient-IoT BS, device 1, and CW</w:t>
            </w:r>
          </w:p>
          <w:p w14:paraId="08874F73">
            <w:pPr>
              <w:numPr>
                <w:ilvl w:val="2"/>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RF requirements for Type 1-C Ambient-IoT BS</w:t>
            </w:r>
          </w:p>
          <w:p w14:paraId="17215131">
            <w:pPr>
              <w:numPr>
                <w:ilvl w:val="2"/>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RF requirements for device 1</w:t>
            </w:r>
          </w:p>
          <w:p w14:paraId="69775E5A">
            <w:pPr>
              <w:numPr>
                <w:ilvl w:val="2"/>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RF requirements for CW</w:t>
            </w:r>
          </w:p>
          <w:p w14:paraId="173D3E69">
            <w:pPr>
              <w:numPr>
                <w:ilvl w:val="1"/>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Specify RRM core requirements for device 1, if necessary</w:t>
            </w:r>
          </w:p>
          <w:p w14:paraId="47F85BD2">
            <w:pPr>
              <w:numPr>
                <w:ilvl w:val="1"/>
                <w:numId w:val="3"/>
              </w:numPr>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Study and develop OTA test methodology for A-IoT device 1</w:t>
            </w:r>
          </w:p>
          <w:p w14:paraId="534AE075">
            <w:pPr>
              <w:numPr>
                <w:ilvl w:val="2"/>
                <w:numId w:val="3"/>
              </w:numPr>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Consider test methods specified in TR 38.870 as starting point. Take test system reuse, test system complexity and test time into account, when developing test methods suitable for Ambient IoT.</w:t>
            </w:r>
          </w:p>
          <w:p w14:paraId="69BCB3A6">
            <w:pPr>
              <w:numPr>
                <w:ilvl w:val="2"/>
                <w:numId w:val="3"/>
              </w:numPr>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Develop the preliminary Measurement Uncertainty (MU) assessment for the test system</w:t>
            </w:r>
          </w:p>
          <w:p w14:paraId="5325F8A0">
            <w:pPr>
              <w:numPr>
                <w:ilvl w:val="1"/>
                <w:numId w:val="3"/>
              </w:numPr>
              <w:spacing w:after="120"/>
              <w:ind w:right="-96"/>
              <w:jc w:val="both"/>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bCs/>
                <w:sz w:val="20"/>
                <w:szCs w:val="20"/>
                <w:lang w:val="en-US" w:eastAsia="zh-CN"/>
              </w:rPr>
              <w:t>Use band n8 as an example band</w:t>
            </w:r>
          </w:p>
        </w:tc>
      </w:tr>
    </w:tbl>
    <w:p w14:paraId="3B02A20B">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This meeting is the first meeting to discuss RRM requirements for A-IoT.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initial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F1A4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3BA44E2">
            <w:pPr>
              <w:spacing w:after="120"/>
              <w:ind w:right="-96"/>
              <w:jc w:val="both"/>
              <w:rPr>
                <w:rFonts w:hint="eastAsia" w:ascii="Times New Roman" w:hAnsi="Times New Roman" w:eastAsia="宋体" w:cs="Times New Roman"/>
                <w:b/>
                <w:bCs/>
                <w:sz w:val="20"/>
                <w:szCs w:val="20"/>
                <w:u w:val="single"/>
                <w:lang w:val="en-US" w:eastAsia="zh-CN"/>
              </w:rPr>
            </w:pPr>
            <w:r>
              <w:rPr>
                <w:rFonts w:hint="default" w:ascii="Times New Roman" w:hAnsi="Times New Roman" w:eastAsia="宋体" w:cs="Times New Roman"/>
                <w:b/>
                <w:bCs/>
                <w:sz w:val="20"/>
                <w:szCs w:val="20"/>
                <w:u w:val="single"/>
                <w:lang w:val="en-US" w:eastAsia="ja-JP"/>
              </w:rPr>
              <w:t>General Scope</w:t>
            </w:r>
            <w:r>
              <w:rPr>
                <w:rFonts w:hint="eastAsia" w:ascii="Times New Roman" w:hAnsi="Times New Roman" w:cs="Times New Roman"/>
                <w:b/>
                <w:bCs/>
                <w:sz w:val="20"/>
                <w:szCs w:val="20"/>
                <w:u w:val="single"/>
                <w:lang w:val="en-US" w:eastAsia="zh-CN"/>
              </w:rPr>
              <w:t xml:space="preserve"> of Rel-19 WID</w:t>
            </w:r>
          </w:p>
          <w:p w14:paraId="6CDB7973">
            <w:pPr>
              <w:spacing w:after="120"/>
              <w:ind w:right="-96"/>
              <w:jc w:val="both"/>
              <w:rPr>
                <w:rFonts w:hint="default" w:ascii="Times New Roman" w:hAnsi="Times New Roman" w:eastAsia="宋体" w:cs="Times New Roman"/>
                <w:sz w:val="20"/>
                <w:szCs w:val="20"/>
                <w:lang w:val="en-US" w:eastAsia="ja-JP"/>
              </w:rPr>
            </w:pPr>
            <w:r>
              <w:rPr>
                <w:rFonts w:hint="default" w:ascii="Times New Roman" w:hAnsi="Times New Roman" w:eastAsia="宋体" w:cs="Times New Roman"/>
                <w:sz w:val="20"/>
                <w:szCs w:val="20"/>
                <w:lang w:val="en-US" w:eastAsia="ja-JP"/>
              </w:rPr>
              <w:t>The definitions provided in TR 38.848, TR 38.769, and decisions, etc. made during the Rel-19 SI in RAN WGs are taken into this WI, and the following is the exclusive general scope:</w:t>
            </w:r>
          </w:p>
          <w:p w14:paraId="4EF3E55A">
            <w:pPr>
              <w:numPr>
                <w:ilvl w:val="0"/>
                <w:numId w:val="4"/>
              </w:numPr>
              <w:spacing w:after="120"/>
              <w:ind w:right="-96"/>
              <w:jc w:val="both"/>
              <w:rPr>
                <w:rFonts w:hint="default" w:ascii="Times New Roman" w:hAnsi="Times New Roman" w:eastAsia="宋体" w:cs="Times New Roman"/>
                <w:sz w:val="20"/>
                <w:szCs w:val="20"/>
                <w:lang w:val="en-US" w:eastAsia="ja-JP"/>
              </w:rPr>
            </w:pPr>
            <w:r>
              <w:rPr>
                <w:rFonts w:hint="default" w:ascii="Times New Roman" w:hAnsi="Times New Roman" w:eastAsia="宋体" w:cs="Times New Roman"/>
                <w:sz w:val="20"/>
                <w:szCs w:val="20"/>
                <w:lang w:val="en-US" w:eastAsia="ja-JP"/>
              </w:rPr>
              <w:t>The overall objective shall be to standardize the following Ambient IoT device:</w:t>
            </w:r>
          </w:p>
          <w:p w14:paraId="2A8AB4D2">
            <w:pPr>
              <w:spacing w:after="120"/>
              <w:ind w:left="720" w:right="-96"/>
              <w:jc w:val="both"/>
              <w:rPr>
                <w:rFonts w:hint="default" w:ascii="Times New Roman" w:hAnsi="Times New Roman" w:eastAsia="宋体" w:cs="Times New Roman"/>
                <w:sz w:val="20"/>
                <w:szCs w:val="20"/>
                <w:lang w:val="en-US" w:eastAsia="ja-JP"/>
              </w:rPr>
            </w:pPr>
            <w:r>
              <w:rPr>
                <w:rFonts w:hint="default" w:ascii="Times New Roman" w:hAnsi="Times New Roman" w:eastAsia="宋体" w:cs="Times New Roman"/>
                <w:sz w:val="20"/>
                <w:szCs w:val="20"/>
                <w:lang w:val="en-US" w:eastAsia="ja-JP"/>
              </w:rPr>
              <w:t xml:space="preserve">Device 1: ~1 </w:t>
            </w:r>
            <w:r>
              <w:rPr>
                <w:rFonts w:hint="default" w:ascii="Times New Roman" w:hAnsi="Times New Roman" w:eastAsia="宋体" w:cs="Times New Roman"/>
                <w:i/>
                <w:iCs/>
                <w:sz w:val="20"/>
                <w:szCs w:val="20"/>
                <w:lang w:val="en-US" w:eastAsia="ja-JP"/>
              </w:rPr>
              <w:t>µ</w:t>
            </w:r>
            <w:r>
              <w:rPr>
                <w:rFonts w:hint="default" w:ascii="Times New Roman" w:hAnsi="Times New Roman" w:eastAsia="宋体" w:cs="Times New Roman"/>
                <w:sz w:val="20"/>
                <w:szCs w:val="20"/>
                <w:lang w:val="en-US" w:eastAsia="ja-JP"/>
              </w:rPr>
              <w:t>W peak power consumption, has energy storage, RF envelope detector receiver, initial sampling frequency offset (SFO) up to 10</w:t>
            </w:r>
            <w:r>
              <w:rPr>
                <w:rFonts w:hint="default" w:ascii="Times New Roman" w:hAnsi="Times New Roman" w:eastAsia="宋体" w:cs="Times New Roman"/>
                <w:i/>
                <w:iCs/>
                <w:sz w:val="20"/>
                <w:szCs w:val="20"/>
                <w:vertAlign w:val="superscript"/>
                <w:lang w:val="en-US" w:eastAsia="ja-JP"/>
              </w:rPr>
              <w:t>X</w:t>
            </w:r>
            <w:r>
              <w:rPr>
                <w:rFonts w:hint="default" w:ascii="Times New Roman" w:hAnsi="Times New Roman" w:eastAsia="宋体" w:cs="Times New Roman"/>
                <w:sz w:val="20"/>
                <w:szCs w:val="20"/>
                <w:lang w:val="en-US" w:eastAsia="ja-JP"/>
              </w:rPr>
              <w:t xml:space="preserve"> ppm, neither R2D nor D2R amplification in the device. The device’s D2R transmission is backscattered on a carrier wave provided externally.</w:t>
            </w:r>
          </w:p>
          <w:p w14:paraId="6951249B">
            <w:pPr>
              <w:numPr>
                <w:ilvl w:val="0"/>
                <w:numId w:val="4"/>
              </w:numPr>
              <w:rPr>
                <w:rFonts w:hint="default" w:ascii="Times New Roman" w:hAnsi="Times New Roman" w:cs="Times New Roman"/>
                <w:sz w:val="20"/>
                <w:szCs w:val="20"/>
              </w:rPr>
            </w:pPr>
            <w:bookmarkStart w:id="8" w:name="_Hlk160560296"/>
            <w:r>
              <w:rPr>
                <w:rFonts w:hint="default" w:ascii="Times New Roman" w:hAnsi="Times New Roman" w:cs="Times New Roman"/>
                <w:sz w:val="20"/>
                <w:szCs w:val="20"/>
              </w:rPr>
              <w:t xml:space="preserve">Deployment scenario 1 with Topology 1, according to D1T1-B. </w:t>
            </w:r>
          </w:p>
          <w:bookmarkEnd w:id="8"/>
          <w:p w14:paraId="7BE3D48C">
            <w:pPr>
              <w:numPr>
                <w:ilvl w:val="0"/>
                <w:numId w:val="4"/>
              </w:numPr>
              <w:spacing w:after="120"/>
              <w:ind w:right="-96"/>
              <w:jc w:val="both"/>
              <w:rPr>
                <w:rFonts w:hint="default" w:ascii="Times New Roman" w:hAnsi="Times New Roman" w:eastAsia="宋体" w:cs="Times New Roman"/>
                <w:sz w:val="20"/>
                <w:szCs w:val="20"/>
                <w:lang w:val="en-US" w:eastAsia="ja-JP"/>
              </w:rPr>
            </w:pPr>
            <w:r>
              <w:rPr>
                <w:rFonts w:hint="default" w:ascii="Times New Roman" w:hAnsi="Times New Roman" w:eastAsia="宋体" w:cs="Times New Roman"/>
                <w:sz w:val="20"/>
                <w:szCs w:val="20"/>
                <w:lang w:val="en-US" w:eastAsia="ja-JP"/>
              </w:rPr>
              <w:t xml:space="preserve">FR1 licensed spectrum in FDD, with R2D in DL spectrum and D2R </w:t>
            </w:r>
            <w:r>
              <w:rPr>
                <w:rFonts w:hint="default" w:ascii="Times New Roman" w:hAnsi="Times New Roman" w:cs="Times New Roman"/>
                <w:sz w:val="20"/>
                <w:szCs w:val="20"/>
                <w:lang w:eastAsia="ja-JP"/>
              </w:rPr>
              <w:t>and CW</w:t>
            </w:r>
            <w:r>
              <w:rPr>
                <w:rFonts w:hint="default" w:ascii="Times New Roman" w:hAnsi="Times New Roman" w:eastAsia="宋体" w:cs="Times New Roman"/>
                <w:sz w:val="20"/>
                <w:szCs w:val="20"/>
                <w:lang w:val="en-US" w:eastAsia="ja-JP"/>
              </w:rPr>
              <w:t xml:space="preserve"> in UL spectrum.</w:t>
            </w:r>
          </w:p>
          <w:p w14:paraId="2C68C397">
            <w:pPr>
              <w:numPr>
                <w:ilvl w:val="0"/>
                <w:numId w:val="4"/>
              </w:numPr>
              <w:spacing w:after="120"/>
              <w:ind w:right="-96"/>
              <w:jc w:val="both"/>
              <w:rPr>
                <w:rFonts w:hint="default" w:ascii="Times New Roman" w:hAnsi="Times New Roman" w:eastAsia="宋体" w:cs="Times New Roman"/>
                <w:sz w:val="20"/>
                <w:szCs w:val="20"/>
                <w:lang w:val="en-US" w:eastAsia="ja-JP"/>
              </w:rPr>
            </w:pPr>
            <w:r>
              <w:rPr>
                <w:rFonts w:hint="default" w:ascii="Times New Roman" w:hAnsi="Times New Roman" w:eastAsia="宋体" w:cs="Times New Roman"/>
                <w:sz w:val="20"/>
                <w:szCs w:val="20"/>
                <w:lang w:val="en-US" w:eastAsia="ja-JP"/>
              </w:rPr>
              <w:t>Spectrum deployment in-band to NR and standalone, with A-IoT BS located indoor.</w:t>
            </w:r>
          </w:p>
          <w:p w14:paraId="5BA4BF12">
            <w:pPr>
              <w:numPr>
                <w:ilvl w:val="0"/>
                <w:numId w:val="4"/>
              </w:numPr>
              <w:spacing w:after="120"/>
              <w:ind w:right="-96"/>
              <w:jc w:val="both"/>
              <w:rPr>
                <w:rFonts w:hint="default" w:ascii="Times New Roman" w:hAnsi="Times New Roman" w:eastAsia="宋体" w:cs="Times New Roman"/>
                <w:sz w:val="20"/>
                <w:szCs w:val="20"/>
                <w:lang w:val="en-US" w:eastAsia="ja-JP"/>
              </w:rPr>
            </w:pPr>
            <w:r>
              <w:rPr>
                <w:rFonts w:hint="default" w:ascii="Times New Roman" w:hAnsi="Times New Roman" w:eastAsia="宋体" w:cs="Times New Roman"/>
                <w:sz w:val="20"/>
                <w:szCs w:val="20"/>
                <w:lang w:val="en-US" w:eastAsia="ja-JP"/>
              </w:rPr>
              <w:t>Traffic types DO-DTT, DT, for rUC1 (indoor inventory) and rUC4 (indoor command).</w:t>
            </w:r>
            <w:r>
              <w:rPr>
                <w:rFonts w:hint="default" w:ascii="Times New Roman" w:hAnsi="Times New Roman" w:eastAsia="宋体" w:cs="Times New Roman"/>
                <w:sz w:val="20"/>
                <w:szCs w:val="20"/>
              </w:rPr>
              <w:t xml:space="preserve"> </w:t>
            </w:r>
          </w:p>
          <w:p w14:paraId="644DF147">
            <w:pPr>
              <w:numPr>
                <w:ilvl w:val="0"/>
                <w:numId w:val="4"/>
              </w:numPr>
              <w:spacing w:after="120"/>
              <w:ind w:right="-96"/>
              <w:jc w:val="both"/>
              <w:rPr>
                <w:rFonts w:hint="default" w:ascii="Times New Roman" w:hAnsi="Times New Roman" w:cs="Times New Roman"/>
                <w:sz w:val="20"/>
                <w:szCs w:val="20"/>
              </w:rPr>
            </w:pPr>
            <w:r>
              <w:rPr>
                <w:rFonts w:hint="default" w:ascii="Times New Roman" w:hAnsi="Times New Roman" w:eastAsia="宋体" w:cs="Times New Roman"/>
                <w:sz w:val="20"/>
                <w:szCs w:val="20"/>
                <w:lang w:val="en-US" w:eastAsia="ja-JP"/>
              </w:rPr>
              <w:t>Carrier wave transmission for waveform 1 only, without hopping, per the following cases in TR 38.769:</w:t>
            </w:r>
          </w:p>
          <w:p w14:paraId="5F00E002">
            <w:pPr>
              <w:pStyle w:val="20"/>
              <w:numPr>
                <w:ilvl w:val="1"/>
                <w:numId w:val="5"/>
              </w:numPr>
              <w:rPr>
                <w:rFonts w:hint="default" w:ascii="Times New Roman" w:hAnsi="Times New Roman" w:cs="Times New Roman"/>
                <w:sz w:val="20"/>
                <w:szCs w:val="20"/>
              </w:rPr>
            </w:pPr>
            <w:r>
              <w:rPr>
                <w:rFonts w:hint="default" w:ascii="Times New Roman" w:hAnsi="Times New Roman" w:eastAsia="宋体" w:cs="Times New Roman"/>
                <w:sz w:val="20"/>
                <w:szCs w:val="20"/>
                <w:lang w:eastAsia="ja-JP"/>
              </w:rPr>
              <w:t>Case 1-4 for D1T1-B</w:t>
            </w:r>
          </w:p>
          <w:p w14:paraId="7896C1B7">
            <w:pPr>
              <w:pStyle w:val="20"/>
              <w:numPr>
                <w:ilvl w:val="0"/>
                <w:numId w:val="4"/>
              </w:numPr>
              <w:rPr>
                <w:rFonts w:hint="default" w:ascii="Times New Roman" w:hAnsi="Times New Roman" w:cs="Times New Roman"/>
                <w:sz w:val="20"/>
                <w:szCs w:val="20"/>
              </w:rPr>
            </w:pPr>
            <w:r>
              <w:rPr>
                <w:rFonts w:hint="default" w:ascii="Times New Roman" w:hAnsi="Times New Roman" w:eastAsia="宋体" w:cs="Times New Roman"/>
                <w:sz w:val="20"/>
                <w:szCs w:val="20"/>
                <w:lang w:val="en-US" w:eastAsia="ja-JP"/>
              </w:rPr>
              <w:t>Proximity determination via Solution 1 in TR 38.769 only.</w:t>
            </w:r>
          </w:p>
          <w:p w14:paraId="215DEC81">
            <w:pPr>
              <w:numPr>
                <w:ilvl w:val="0"/>
                <w:numId w:val="4"/>
              </w:num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Device (un)availability via Direction 1 in TR 38.769 only.</w:t>
            </w:r>
          </w:p>
        </w:tc>
      </w:tr>
    </w:tbl>
    <w:p w14:paraId="2422398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1C450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According to the general scope of the WID [2], the focus is </w:t>
      </w:r>
      <w:r>
        <w:rPr>
          <w:rFonts w:hint="default" w:ascii="Times New Roman" w:hAnsi="Times New Roman" w:cs="Times New Roman"/>
          <w:sz w:val="20"/>
          <w:szCs w:val="20"/>
        </w:rPr>
        <w:t>D1T1-B</w:t>
      </w:r>
      <w:r>
        <w:rPr>
          <w:rFonts w:hint="eastAsia" w:ascii="Times New Roman" w:hAnsi="Times New Roman" w:cs="Times New Roman"/>
          <w:sz w:val="20"/>
          <w:szCs w:val="20"/>
          <w:lang w:val="en-US" w:eastAsia="zh-CN"/>
        </w:rPr>
        <w:t xml:space="preserve"> (</w:t>
      </w:r>
      <w:r>
        <w:rPr>
          <w:rFonts w:hint="eastAsia" w:ascii="Times New Roman" w:hAnsi="Times New Roman"/>
          <w:sz w:val="20"/>
          <w:szCs w:val="20"/>
          <w:lang w:val="en-US" w:eastAsia="zh-CN"/>
        </w:rPr>
        <w:t xml:space="preserve">Deployment scenario 1 with Topology 1 ), and Ambient IoT device 1 is considered. </w:t>
      </w:r>
      <w:r>
        <w:rPr>
          <w:rFonts w:hint="default" w:ascii="Times New Roman" w:hAnsi="Times New Roman"/>
          <w:sz w:val="20"/>
          <w:szCs w:val="20"/>
          <w:lang w:val="en-US" w:eastAsia="zh-CN"/>
        </w:rPr>
        <w:t>Deployment scenario 1: Device indoors, basestation indoors</w:t>
      </w:r>
      <w:r>
        <w:rPr>
          <w:rFonts w:hint="eastAsia" w:ascii="Times New Roman" w:hAnsi="Times New Roman"/>
          <w:sz w:val="20"/>
          <w:szCs w:val="20"/>
          <w:lang w:val="en-US" w:eastAsia="zh-CN"/>
        </w:rPr>
        <w:t xml:space="preserve">. </w:t>
      </w:r>
      <w:r>
        <w:rPr>
          <w:rFonts w:hint="default" w:ascii="Times New Roman" w:hAnsi="Times New Roman"/>
          <w:sz w:val="20"/>
          <w:szCs w:val="20"/>
          <w:lang w:val="en-US" w:eastAsia="zh-CN"/>
        </w:rPr>
        <w:t>In Topology 1, the Ambient IoT device directly and bidirectionally communicates with a basestation. The communication between the basestation and the ambient IoT device includes Ambient IoT data and/or signalling.</w:t>
      </w:r>
      <w:r>
        <w:rPr>
          <w:rFonts w:hint="eastAsia" w:ascii="Times New Roman" w:hAnsi="Times New Roman"/>
          <w:sz w:val="20"/>
          <w:szCs w:val="20"/>
          <w:lang w:val="en-US" w:eastAsia="zh-CN"/>
        </w:rPr>
        <w:t xml:space="preserve"> For D1T1-B, CW is outside topology.</w:t>
      </w:r>
    </w:p>
    <w:p w14:paraId="057013C9">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lang w:val="en-US" w:eastAsia="zh-CN"/>
        </w:rPr>
      </w:pPr>
      <w:r>
        <w:rPr>
          <w:rFonts w:ascii="Arial" w:hAnsi="Arial" w:eastAsia="等线" w:cs="Arial"/>
          <w:sz w:val="18"/>
          <w:szCs w:val="18"/>
          <w:lang w:eastAsia="zh-CN"/>
        </w:rPr>
        <w:drawing>
          <wp:inline distT="0" distB="0" distL="0" distR="0">
            <wp:extent cx="2637155" cy="659130"/>
            <wp:effectExtent l="0" t="0" r="0" b="0"/>
            <wp:docPr id="21" name="Picture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black background with a black square&#10;&#10;Description automatically generated with medium confidence"/>
                    <pic:cNvPicPr>
                      <a:picLocks noChangeAspect="1" noChangeArrowheads="1"/>
                    </pic:cNvPicPr>
                  </pic:nvPicPr>
                  <pic:blipFill>
                    <a:blip r:embed="rId4" cstate="print">
                      <a:extLst>
                        <a:ext uri="{28A0092B-C50C-407E-A947-70E740481C1C}">
                          <a14:useLocalDpi xmlns:a14="http://schemas.microsoft.com/office/drawing/2010/main" val="0"/>
                        </a:ext>
                      </a:extLst>
                    </a:blip>
                    <a:srcRect l="12672" t="42400"/>
                    <a:stretch>
                      <a:fillRect/>
                    </a:stretch>
                  </pic:blipFill>
                  <pic:spPr>
                    <a:xfrm>
                      <a:off x="0" y="0"/>
                      <a:ext cx="2637155" cy="659130"/>
                    </a:xfrm>
                    <a:prstGeom prst="rect">
                      <a:avLst/>
                    </a:prstGeom>
                    <a:noFill/>
                    <a:ln>
                      <a:noFill/>
                    </a:ln>
                  </pic:spPr>
                </pic:pic>
              </a:graphicData>
            </a:graphic>
          </wp:inline>
        </w:drawing>
      </w:r>
    </w:p>
    <w:p w14:paraId="5DF57340">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Figure 1 </w:t>
      </w:r>
      <w:r>
        <w:rPr>
          <w:rFonts w:hint="default" w:ascii="Times New Roman" w:hAnsi="Times New Roman"/>
          <w:sz w:val="20"/>
          <w:szCs w:val="20"/>
          <w:lang w:val="en-US" w:eastAsia="zh-CN"/>
        </w:rPr>
        <w:t>Diagram of the scenario</w:t>
      </w:r>
      <w:r>
        <w:rPr>
          <w:rFonts w:hint="eastAsia" w:ascii="Times New Roman" w:hAnsi="Times New Roman"/>
          <w:sz w:val="20"/>
          <w:szCs w:val="20"/>
          <w:lang w:val="en-US" w:eastAsia="zh-CN"/>
        </w:rPr>
        <w:t xml:space="preserve"> D1T1-B,</w:t>
      </w:r>
    </w:p>
    <w:p w14:paraId="30CAC32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Observation 1: according to the WID, device 1 and D1T1-B are considered.</w:t>
      </w:r>
    </w:p>
    <w:p w14:paraId="3ABC9DA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 last RAN2 meeting, it was agreed that from RAN2 perspective only the following types of procedures will be considered in the normative phase: “Inventory only” and “Inventory and command”.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D264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D135D5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b/>
                <w:bCs/>
                <w:sz w:val="20"/>
                <w:szCs w:val="20"/>
                <w:lang w:val="en-US" w:eastAsia="zh-CN"/>
              </w:rPr>
              <w:t>Agreements in RAN2 #129 meeting</w:t>
            </w:r>
          </w:p>
          <w:p w14:paraId="39E6025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highlight w:val="none"/>
                <w:vertAlign w:val="baseline"/>
                <w:lang w:val="en-US" w:eastAsia="zh-CN"/>
              </w:rPr>
            </w:pPr>
            <w:r>
              <w:rPr>
                <w:rFonts w:hint="eastAsia" w:ascii="Times New Roman" w:hAnsi="Times New Roman"/>
                <w:sz w:val="20"/>
                <w:szCs w:val="20"/>
                <w:lang w:val="en-US" w:eastAsia="zh-CN"/>
              </w:rPr>
              <w:t>From RAN2 perspective only the following types of procedures will be considered in the normative phase: “Inventory only” and “Inventory and command”.</w:t>
            </w:r>
          </w:p>
        </w:tc>
      </w:tr>
    </w:tbl>
    <w:p w14:paraId="12B7F87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highlight w:val="none"/>
          <w:lang w:val="en-US" w:eastAsia="zh-CN"/>
        </w:rPr>
      </w:pPr>
    </w:p>
    <w:p w14:paraId="0565554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val="0"/>
          <w:bCs w:val="0"/>
          <w:i w:val="0"/>
          <w:iCs w:val="0"/>
          <w:sz w:val="20"/>
          <w:szCs w:val="20"/>
          <w:highlight w:val="none"/>
          <w:lang w:val="en-US" w:eastAsia="zh-CN"/>
        </w:rPr>
      </w:pPr>
      <w:r>
        <w:rPr>
          <w:rFonts w:hint="eastAsia" w:ascii="Times New Roman" w:hAnsi="Times New Roman" w:cs="Times New Roman"/>
          <w:b w:val="0"/>
          <w:bCs w:val="0"/>
          <w:i w:val="0"/>
          <w:iCs w:val="0"/>
          <w:sz w:val="20"/>
          <w:szCs w:val="20"/>
          <w:highlight w:val="none"/>
          <w:lang w:val="en-US" w:eastAsia="zh-CN"/>
        </w:rPr>
        <w:t>The definition of Command and Inventory are defined in TR23.700. Command: Refers to an instruction sent by an AF to an AIoT Device. Which include Read, Write and Disable. Inventory: Refers to determining the identity of all or a subset of AIoT Devices in range of a reader.</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27F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07CBB7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val="0"/>
                <w:iCs w:val="0"/>
                <w:sz w:val="20"/>
                <w:szCs w:val="20"/>
                <w:highlight w:val="none"/>
                <w:lang w:val="en-US" w:eastAsia="zh-CN"/>
              </w:rPr>
            </w:pPr>
            <w:r>
              <w:rPr>
                <w:rFonts w:hint="eastAsia" w:ascii="Times New Roman" w:hAnsi="Times New Roman" w:cs="Times New Roman"/>
                <w:b/>
                <w:bCs/>
                <w:i w:val="0"/>
                <w:iCs w:val="0"/>
                <w:sz w:val="20"/>
                <w:szCs w:val="20"/>
                <w:highlight w:val="none"/>
                <w:lang w:val="en-US" w:eastAsia="zh-CN"/>
              </w:rPr>
              <w:t>TR23.700</w:t>
            </w:r>
          </w:p>
          <w:p w14:paraId="5106E8A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val="0"/>
                <w:bCs w:val="0"/>
                <w:i w:val="0"/>
                <w:iCs w:val="0"/>
                <w:sz w:val="20"/>
                <w:szCs w:val="20"/>
                <w:highlight w:val="none"/>
                <w:lang w:val="en-US" w:eastAsia="zh-CN"/>
              </w:rPr>
            </w:pPr>
            <w:r>
              <w:rPr>
                <w:rFonts w:hint="default" w:ascii="Times New Roman" w:hAnsi="Times New Roman" w:cs="Times New Roman"/>
                <w:b w:val="0"/>
                <w:bCs w:val="0"/>
                <w:i w:val="0"/>
                <w:iCs w:val="0"/>
                <w:sz w:val="20"/>
                <w:szCs w:val="20"/>
                <w:highlight w:val="none"/>
                <w:lang w:val="en-US" w:eastAsia="zh-CN"/>
              </w:rPr>
              <w:t>-</w:t>
            </w:r>
            <w:r>
              <w:rPr>
                <w:rFonts w:hint="default" w:ascii="Times New Roman" w:hAnsi="Times New Roman" w:cs="Times New Roman"/>
                <w:b w:val="0"/>
                <w:bCs w:val="0"/>
                <w:i w:val="0"/>
                <w:iCs w:val="0"/>
                <w:sz w:val="20"/>
                <w:szCs w:val="20"/>
                <w:highlight w:val="none"/>
                <w:lang w:val="en-US" w:eastAsia="zh-CN"/>
              </w:rPr>
              <w:tab/>
            </w:r>
            <w:r>
              <w:rPr>
                <w:rFonts w:hint="default" w:ascii="Times New Roman" w:hAnsi="Times New Roman" w:cs="Times New Roman"/>
                <w:b w:val="0"/>
                <w:bCs w:val="0"/>
                <w:i w:val="0"/>
                <w:iCs w:val="0"/>
                <w:sz w:val="20"/>
                <w:szCs w:val="20"/>
                <w:highlight w:val="none"/>
                <w:lang w:val="en-US" w:eastAsia="zh-CN"/>
              </w:rPr>
              <w:t>Command: Refers to an instruction sent by an AF to an AIoT Device. The following instructions may be supported:</w:t>
            </w:r>
          </w:p>
          <w:p w14:paraId="20ED1EC2">
            <w:pPr>
              <w:keepNext w:val="0"/>
              <w:keepLines w:val="0"/>
              <w:pageBreakBefore w:val="0"/>
              <w:widowControl w:val="0"/>
              <w:kinsoku/>
              <w:wordWrap/>
              <w:overflowPunct/>
              <w:topLinePunct w:val="0"/>
              <w:autoSpaceDE/>
              <w:autoSpaceDN/>
              <w:bidi w:val="0"/>
              <w:adjustRightInd/>
              <w:snapToGrid/>
              <w:spacing w:after="180" w:line="240" w:lineRule="auto"/>
              <w:ind w:leftChars="200"/>
              <w:textAlignment w:val="auto"/>
              <w:rPr>
                <w:rFonts w:hint="default" w:ascii="Times New Roman" w:hAnsi="Times New Roman" w:cs="Times New Roman"/>
                <w:b w:val="0"/>
                <w:bCs w:val="0"/>
                <w:i w:val="0"/>
                <w:iCs w:val="0"/>
                <w:sz w:val="20"/>
                <w:szCs w:val="20"/>
                <w:highlight w:val="none"/>
                <w:lang w:val="en-US" w:eastAsia="zh-CN"/>
              </w:rPr>
            </w:pPr>
            <w:r>
              <w:rPr>
                <w:rFonts w:hint="default" w:ascii="Times New Roman" w:hAnsi="Times New Roman" w:cs="Times New Roman"/>
                <w:b w:val="0"/>
                <w:bCs w:val="0"/>
                <w:i w:val="0"/>
                <w:iCs w:val="0"/>
                <w:sz w:val="20"/>
                <w:szCs w:val="20"/>
                <w:highlight w:val="none"/>
                <w:lang w:val="en-US" w:eastAsia="zh-CN"/>
              </w:rPr>
              <w:t>-</w:t>
            </w:r>
            <w:r>
              <w:rPr>
                <w:rFonts w:hint="default" w:ascii="Times New Roman" w:hAnsi="Times New Roman" w:cs="Times New Roman"/>
                <w:b w:val="0"/>
                <w:bCs w:val="0"/>
                <w:i w:val="0"/>
                <w:iCs w:val="0"/>
                <w:sz w:val="20"/>
                <w:szCs w:val="20"/>
                <w:highlight w:val="none"/>
                <w:lang w:val="en-US" w:eastAsia="zh-CN"/>
              </w:rPr>
              <w:tab/>
            </w:r>
            <w:r>
              <w:rPr>
                <w:rFonts w:hint="default" w:ascii="Times New Roman" w:hAnsi="Times New Roman" w:cs="Times New Roman"/>
                <w:b w:val="0"/>
                <w:bCs w:val="0"/>
                <w:i w:val="0"/>
                <w:iCs w:val="0"/>
                <w:sz w:val="20"/>
                <w:szCs w:val="20"/>
                <w:highlight w:val="none"/>
                <w:lang w:val="en-US" w:eastAsia="zh-CN"/>
              </w:rPr>
              <w:t>Read: Reading data from an AIoT Device;</w:t>
            </w:r>
          </w:p>
          <w:p w14:paraId="63A87A6B">
            <w:pPr>
              <w:keepNext w:val="0"/>
              <w:keepLines w:val="0"/>
              <w:pageBreakBefore w:val="0"/>
              <w:widowControl w:val="0"/>
              <w:kinsoku/>
              <w:wordWrap/>
              <w:overflowPunct/>
              <w:topLinePunct w:val="0"/>
              <w:autoSpaceDE/>
              <w:autoSpaceDN/>
              <w:bidi w:val="0"/>
              <w:adjustRightInd/>
              <w:snapToGrid/>
              <w:spacing w:after="180" w:line="240" w:lineRule="auto"/>
              <w:ind w:leftChars="200"/>
              <w:textAlignment w:val="auto"/>
              <w:rPr>
                <w:rFonts w:hint="default" w:ascii="Times New Roman" w:hAnsi="Times New Roman" w:cs="Times New Roman"/>
                <w:b w:val="0"/>
                <w:bCs w:val="0"/>
                <w:i w:val="0"/>
                <w:iCs w:val="0"/>
                <w:sz w:val="20"/>
                <w:szCs w:val="20"/>
                <w:highlight w:val="none"/>
                <w:lang w:val="en-US" w:eastAsia="zh-CN"/>
              </w:rPr>
            </w:pPr>
            <w:r>
              <w:rPr>
                <w:rFonts w:hint="default" w:ascii="Times New Roman" w:hAnsi="Times New Roman" w:cs="Times New Roman"/>
                <w:b w:val="0"/>
                <w:bCs w:val="0"/>
                <w:i w:val="0"/>
                <w:iCs w:val="0"/>
                <w:sz w:val="20"/>
                <w:szCs w:val="20"/>
                <w:highlight w:val="none"/>
                <w:lang w:val="en-US" w:eastAsia="zh-CN"/>
              </w:rPr>
              <w:t>-</w:t>
            </w:r>
            <w:r>
              <w:rPr>
                <w:rFonts w:hint="default" w:ascii="Times New Roman" w:hAnsi="Times New Roman" w:cs="Times New Roman"/>
                <w:b w:val="0"/>
                <w:bCs w:val="0"/>
                <w:i w:val="0"/>
                <w:iCs w:val="0"/>
                <w:sz w:val="20"/>
                <w:szCs w:val="20"/>
                <w:highlight w:val="none"/>
                <w:lang w:val="en-US" w:eastAsia="zh-CN"/>
              </w:rPr>
              <w:tab/>
            </w:r>
            <w:r>
              <w:rPr>
                <w:rFonts w:hint="default" w:ascii="Times New Roman" w:hAnsi="Times New Roman" w:cs="Times New Roman"/>
                <w:b w:val="0"/>
                <w:bCs w:val="0"/>
                <w:i w:val="0"/>
                <w:iCs w:val="0"/>
                <w:sz w:val="20"/>
                <w:szCs w:val="20"/>
                <w:highlight w:val="none"/>
                <w:lang w:val="en-US" w:eastAsia="zh-CN"/>
              </w:rPr>
              <w:t>Write: Writing data to an AIoT Device;</w:t>
            </w:r>
          </w:p>
          <w:p w14:paraId="01C543D0">
            <w:pPr>
              <w:keepNext w:val="0"/>
              <w:keepLines w:val="0"/>
              <w:pageBreakBefore w:val="0"/>
              <w:widowControl w:val="0"/>
              <w:kinsoku/>
              <w:wordWrap/>
              <w:overflowPunct/>
              <w:topLinePunct w:val="0"/>
              <w:autoSpaceDE/>
              <w:autoSpaceDN/>
              <w:bidi w:val="0"/>
              <w:adjustRightInd/>
              <w:snapToGrid/>
              <w:spacing w:after="180" w:line="240" w:lineRule="auto"/>
              <w:ind w:leftChars="200"/>
              <w:textAlignment w:val="auto"/>
              <w:rPr>
                <w:rFonts w:hint="default" w:ascii="Times New Roman" w:hAnsi="Times New Roman" w:cs="Times New Roman"/>
                <w:b w:val="0"/>
                <w:bCs w:val="0"/>
                <w:i w:val="0"/>
                <w:iCs w:val="0"/>
                <w:sz w:val="20"/>
                <w:szCs w:val="20"/>
                <w:highlight w:val="none"/>
                <w:lang w:val="en-US" w:eastAsia="zh-CN"/>
              </w:rPr>
            </w:pPr>
            <w:r>
              <w:rPr>
                <w:rFonts w:hint="default" w:ascii="Times New Roman" w:hAnsi="Times New Roman" w:cs="Times New Roman"/>
                <w:b w:val="0"/>
                <w:bCs w:val="0"/>
                <w:i w:val="0"/>
                <w:iCs w:val="0"/>
                <w:sz w:val="20"/>
                <w:szCs w:val="20"/>
                <w:highlight w:val="none"/>
                <w:lang w:val="en-US" w:eastAsia="zh-CN"/>
              </w:rPr>
              <w:t>-</w:t>
            </w:r>
            <w:r>
              <w:rPr>
                <w:rFonts w:hint="default" w:ascii="Times New Roman" w:hAnsi="Times New Roman" w:cs="Times New Roman"/>
                <w:b w:val="0"/>
                <w:bCs w:val="0"/>
                <w:i w:val="0"/>
                <w:iCs w:val="0"/>
                <w:sz w:val="20"/>
                <w:szCs w:val="20"/>
                <w:highlight w:val="none"/>
                <w:lang w:val="en-US" w:eastAsia="zh-CN"/>
              </w:rPr>
              <w:tab/>
            </w:r>
            <w:r>
              <w:rPr>
                <w:rFonts w:hint="default" w:ascii="Times New Roman" w:hAnsi="Times New Roman" w:cs="Times New Roman"/>
                <w:b w:val="0"/>
                <w:bCs w:val="0"/>
                <w:i w:val="0"/>
                <w:iCs w:val="0"/>
                <w:sz w:val="20"/>
                <w:szCs w:val="20"/>
                <w:highlight w:val="none"/>
                <w:lang w:val="en-US" w:eastAsia="zh-CN"/>
              </w:rPr>
              <w:t>Disable: Disable an AIoT Device temporarily or permanently.</w:t>
            </w:r>
          </w:p>
          <w:p w14:paraId="15874D5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val="0"/>
                <w:bCs w:val="0"/>
                <w:i w:val="0"/>
                <w:iCs w:val="0"/>
                <w:sz w:val="20"/>
                <w:szCs w:val="20"/>
                <w:highlight w:val="none"/>
                <w:lang w:val="en-US" w:eastAsia="zh-CN"/>
              </w:rPr>
            </w:pPr>
            <w:r>
              <w:rPr>
                <w:rFonts w:hint="default" w:ascii="Times New Roman" w:hAnsi="Times New Roman" w:cs="Times New Roman"/>
                <w:b w:val="0"/>
                <w:bCs w:val="0"/>
                <w:i w:val="0"/>
                <w:iCs w:val="0"/>
                <w:sz w:val="20"/>
                <w:szCs w:val="20"/>
                <w:highlight w:val="none"/>
                <w:lang w:val="en-US" w:eastAsia="zh-CN"/>
              </w:rPr>
              <w:t>-</w:t>
            </w:r>
            <w:r>
              <w:rPr>
                <w:rFonts w:hint="default" w:ascii="Times New Roman" w:hAnsi="Times New Roman" w:cs="Times New Roman"/>
                <w:b w:val="0"/>
                <w:bCs w:val="0"/>
                <w:i w:val="0"/>
                <w:iCs w:val="0"/>
                <w:sz w:val="20"/>
                <w:szCs w:val="20"/>
                <w:highlight w:val="none"/>
                <w:lang w:val="en-US" w:eastAsia="zh-CN"/>
              </w:rPr>
              <w:tab/>
            </w:r>
            <w:r>
              <w:rPr>
                <w:rFonts w:hint="default" w:ascii="Times New Roman" w:hAnsi="Times New Roman" w:cs="Times New Roman"/>
                <w:b w:val="0"/>
                <w:bCs w:val="0"/>
                <w:i w:val="0"/>
                <w:iCs w:val="0"/>
                <w:sz w:val="20"/>
                <w:szCs w:val="20"/>
                <w:highlight w:val="none"/>
                <w:lang w:val="en-US" w:eastAsia="zh-CN"/>
              </w:rPr>
              <w:t>Inventory: Refers to determining the identity of all or a subset of AIoT Devices in range of a reader.</w:t>
            </w:r>
          </w:p>
        </w:tc>
      </w:tr>
    </w:tbl>
    <w:p w14:paraId="21BF712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val="0"/>
          <w:bCs w:val="0"/>
          <w:i w:val="0"/>
          <w:iCs w:val="0"/>
          <w:sz w:val="20"/>
          <w:szCs w:val="20"/>
          <w:highlight w:val="none"/>
          <w:lang w:val="en-US" w:eastAsia="zh-CN"/>
        </w:rPr>
      </w:pPr>
    </w:p>
    <w:p w14:paraId="7C49419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Observation 2: according to RAN2 agreements, only </w:t>
      </w:r>
      <w:r>
        <w:rPr>
          <w:rFonts w:hint="eastAsia" w:ascii="Times New Roman" w:hAnsi="Times New Roman"/>
          <w:b/>
          <w:bCs/>
          <w:i/>
          <w:iCs/>
          <w:sz w:val="20"/>
          <w:szCs w:val="20"/>
          <w:lang w:val="en-US" w:eastAsia="zh-CN"/>
        </w:rPr>
        <w:t>“Inventory only” and “Inventory and command”</w:t>
      </w:r>
      <w:r>
        <w:rPr>
          <w:rFonts w:hint="eastAsia" w:ascii="Times New Roman" w:hAnsi="Times New Roman" w:cs="Times New Roman"/>
          <w:b/>
          <w:bCs/>
          <w:i/>
          <w:iCs/>
          <w:sz w:val="20"/>
          <w:szCs w:val="20"/>
          <w:highlight w:val="none"/>
          <w:lang w:val="en-US" w:eastAsia="zh-CN"/>
        </w:rPr>
        <w:t>are considered in Rel-19 WI.</w:t>
      </w:r>
    </w:p>
    <w:p w14:paraId="1E3B701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highlight w:val="none"/>
          <w:lang w:val="en-US" w:eastAsia="zh-CN"/>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4388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1E0B051B">
            <w:pPr>
              <w:numPr>
                <w:ilvl w:val="0"/>
                <w:numId w:val="3"/>
              </w:numPr>
              <w:spacing w:after="120"/>
              <w:ind w:right="-96"/>
              <w:jc w:val="both"/>
              <w:rPr>
                <w:rFonts w:hint="default" w:ascii="Times New Roman" w:hAnsi="Times New Roman" w:eastAsia="宋体" w:cs="Times New Roman"/>
                <w:sz w:val="20"/>
                <w:szCs w:val="20"/>
                <w:lang w:val="en-US" w:eastAsia="ja-JP"/>
              </w:rPr>
            </w:pPr>
            <w:r>
              <w:rPr>
                <w:rFonts w:hint="default" w:ascii="Times New Roman" w:hAnsi="Times New Roman" w:eastAsia="宋体" w:cs="Times New Roman"/>
                <w:b/>
                <w:bCs/>
                <w:sz w:val="20"/>
                <w:szCs w:val="20"/>
                <w:u w:val="single"/>
                <w:lang w:val="en-US" w:eastAsia="ja-JP"/>
              </w:rPr>
              <w:t>RAN2 scope</w:t>
            </w:r>
            <w:r>
              <w:rPr>
                <w:rFonts w:hint="eastAsia" w:ascii="Times New Roman" w:hAnsi="Times New Roman" w:cs="Times New Roman"/>
                <w:b/>
                <w:bCs/>
                <w:sz w:val="20"/>
                <w:szCs w:val="20"/>
                <w:u w:val="single"/>
                <w:lang w:val="en-US" w:eastAsia="zh-CN"/>
              </w:rPr>
              <w:t xml:space="preserve"> of Rel-19 WID</w:t>
            </w:r>
          </w:p>
          <w:p w14:paraId="316D5FCF">
            <w:pPr>
              <w:numPr>
                <w:ilvl w:val="1"/>
                <w:numId w:val="3"/>
              </w:numPr>
              <w:rPr>
                <w:rFonts w:hint="default" w:ascii="Times New Roman" w:hAnsi="Times New Roman" w:cs="Times New Roman"/>
                <w:sz w:val="20"/>
                <w:szCs w:val="20"/>
              </w:rPr>
            </w:pPr>
            <w:r>
              <w:rPr>
                <w:rFonts w:hint="default" w:ascii="Times New Roman" w:hAnsi="Times New Roman" w:cs="Times New Roman"/>
                <w:sz w:val="20"/>
                <w:szCs w:val="20"/>
              </w:rPr>
              <w:t>Specify the necessary functions and procedures for an Ambient IoT compact protocol stack and lightweight signalling procedure to enable DO-DTT and DT data transmission</w:t>
            </w:r>
            <w:r>
              <w:rPr>
                <w:rFonts w:hint="default" w:ascii="Times New Roman" w:hAnsi="Times New Roman" w:eastAsia="Times New Roman" w:cs="Times New Roman"/>
                <w:sz w:val="20"/>
                <w:szCs w:val="20"/>
                <w:lang w:eastAsia="ja-JP"/>
              </w:rPr>
              <w:t>:</w:t>
            </w:r>
          </w:p>
          <w:p w14:paraId="54F72ABB">
            <w:pPr>
              <w:numPr>
                <w:ilvl w:val="2"/>
                <w:numId w:val="6"/>
              </w:numPr>
              <w:rPr>
                <w:rFonts w:hint="default" w:ascii="Times New Roman" w:hAnsi="Times New Roman" w:cs="Times New Roman"/>
                <w:sz w:val="20"/>
                <w:szCs w:val="20"/>
                <w:lang w:val="en-US"/>
              </w:rPr>
            </w:pPr>
            <w:r>
              <w:rPr>
                <w:rFonts w:hint="default" w:ascii="Times New Roman" w:hAnsi="Times New Roman" w:eastAsia="Times New Roman" w:cs="Times New Roman"/>
                <w:sz w:val="20"/>
                <w:szCs w:val="20"/>
              </w:rPr>
              <w:t xml:space="preserve">A-IoT </w:t>
            </w:r>
            <w:r>
              <w:rPr>
                <w:rFonts w:hint="default" w:ascii="Times New Roman" w:hAnsi="Times New Roman" w:cs="Times New Roman"/>
                <w:sz w:val="20"/>
                <w:szCs w:val="20"/>
                <w:lang w:val="en-US"/>
              </w:rPr>
              <w:t xml:space="preserve">Paging, including subsequent paging for the same service. Support the options that a paging message contains one identifier, and that a paging message contains no identifier. </w:t>
            </w:r>
          </w:p>
          <w:p w14:paraId="0A0F9EEB">
            <w:pPr>
              <w:ind w:left="2160"/>
              <w:rPr>
                <w:rFonts w:hint="default" w:ascii="Times New Roman" w:hAnsi="Times New Roman" w:cs="Times New Roman"/>
                <w:sz w:val="20"/>
                <w:szCs w:val="20"/>
                <w:lang w:val="en-US"/>
              </w:rPr>
            </w:pPr>
            <w:r>
              <w:rPr>
                <w:rFonts w:hint="default" w:ascii="Times New Roman" w:hAnsi="Times New Roman" w:eastAsia="Times New Roman" w:cs="Times New Roman"/>
                <w:sz w:val="20"/>
                <w:szCs w:val="20"/>
              </w:rPr>
              <w:t>Note: RAN2 aims to design a paging message format such that multiple identifiers can be contained in one paging message, for forward compatibility purposes.</w:t>
            </w:r>
          </w:p>
          <w:p w14:paraId="759C5974">
            <w:pPr>
              <w:numPr>
                <w:ilvl w:val="2"/>
                <w:numId w:val="6"/>
              </w:numPr>
              <w:rPr>
                <w:rFonts w:hint="default" w:ascii="Times New Roman" w:hAnsi="Times New Roman" w:cs="Times New Roman"/>
                <w:sz w:val="20"/>
                <w:szCs w:val="20"/>
                <w:lang w:val="en-US"/>
              </w:rPr>
            </w:pPr>
            <w:r>
              <w:rPr>
                <w:rFonts w:hint="default" w:ascii="Times New Roman" w:hAnsi="Times New Roman" w:eastAsia="Times New Roman" w:cs="Times New Roman"/>
                <w:sz w:val="20"/>
                <w:szCs w:val="20"/>
              </w:rPr>
              <w:t xml:space="preserve">A-IoT </w:t>
            </w:r>
            <w:r>
              <w:rPr>
                <w:rFonts w:hint="default" w:ascii="Times New Roman" w:hAnsi="Times New Roman" w:cs="Times New Roman"/>
                <w:sz w:val="20"/>
                <w:szCs w:val="20"/>
                <w:lang w:val="en-US"/>
              </w:rPr>
              <w:t>Random access, including re-access for failure handling. Contention-based and contention-free cases are supported. For the contention-based random access, only Solution 1 (3-step only) is included.</w:t>
            </w:r>
          </w:p>
          <w:p w14:paraId="4A797AAE">
            <w:pPr>
              <w:numPr>
                <w:ilvl w:val="2"/>
                <w:numId w:val="6"/>
              </w:numPr>
              <w:rPr>
                <w:rFonts w:hint="default" w:ascii="Times New Roman" w:hAnsi="Times New Roman" w:cs="Times New Roman"/>
                <w:sz w:val="20"/>
                <w:szCs w:val="20"/>
                <w:lang w:val="en-US"/>
              </w:rPr>
            </w:pPr>
            <w:r>
              <w:rPr>
                <w:rFonts w:hint="default" w:ascii="Times New Roman" w:hAnsi="Times New Roman" w:eastAsia="Times New Roman" w:cs="Times New Roman"/>
                <w:sz w:val="20"/>
                <w:szCs w:val="20"/>
              </w:rPr>
              <w:t xml:space="preserve">A-IoT </w:t>
            </w:r>
            <w:r>
              <w:rPr>
                <w:rFonts w:hint="default" w:ascii="Times New Roman" w:hAnsi="Times New Roman" w:cs="Times New Roman"/>
                <w:sz w:val="20"/>
                <w:szCs w:val="20"/>
                <w:lang w:val="en-US"/>
              </w:rPr>
              <w:t>data transmission, including data (re-)transmission for failure handling.</w:t>
            </w:r>
            <w:r>
              <w:rPr>
                <w:rFonts w:hint="default" w:ascii="Times New Roman" w:hAnsi="Times New Roman" w:cs="Times New Roman"/>
                <w:sz w:val="20"/>
                <w:szCs w:val="20"/>
              </w:rPr>
              <w:t xml:space="preserve"> Segmentation is supported at least in D2R.</w:t>
            </w:r>
          </w:p>
          <w:p w14:paraId="10B6EFFD">
            <w:pPr>
              <w:numPr>
                <w:ilvl w:val="2"/>
                <w:numId w:val="6"/>
              </w:numPr>
              <w:rPr>
                <w:rFonts w:hint="default" w:ascii="Times New Roman" w:hAnsi="Times New Roman" w:cs="Times New Roman"/>
                <w:sz w:val="20"/>
                <w:szCs w:val="20"/>
                <w:vertAlign w:val="baseline"/>
                <w:lang w:val="en-US" w:eastAsia="zh-CN"/>
              </w:rPr>
            </w:pPr>
            <w:r>
              <w:rPr>
                <w:rFonts w:hint="default" w:ascii="Times New Roman" w:hAnsi="Times New Roman" w:eastAsia="Times New Roman" w:cs="Times New Roman"/>
                <w:sz w:val="20"/>
                <w:szCs w:val="20"/>
              </w:rPr>
              <w:t>Only MAC layer is included</w:t>
            </w:r>
          </w:p>
        </w:tc>
      </w:tr>
    </w:tbl>
    <w:p w14:paraId="155A8FC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6DD4B19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According to the RAN2 scope of the WID [2], A-IoT Paging, A-IoT Random access and A-IoT data transmission are considered. From RRM requirements point of view, A-IoT Random access may have impact on RRM requirements. </w:t>
      </w:r>
    </w:p>
    <w:p w14:paraId="0F7BFC5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The progress on A-IoT Random access procedure during SI is captured in the TR 38.769.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8894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8B2E14C">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Propgress on A-</w:t>
            </w:r>
            <w:r>
              <w:rPr>
                <w:rFonts w:hint="default" w:ascii="Times New Roman" w:hAnsi="Times New Roman" w:cs="Times New Roman"/>
                <w:b/>
                <w:bCs/>
                <w:sz w:val="20"/>
                <w:szCs w:val="20"/>
                <w:lang w:val="en-US" w:eastAsia="zh-CN"/>
              </w:rPr>
              <w:t xml:space="preserve">IoT Random access procedure </w:t>
            </w:r>
            <w:r>
              <w:rPr>
                <w:rFonts w:hint="eastAsia" w:ascii="Times New Roman" w:hAnsi="Times New Roman" w:cs="Times New Roman"/>
                <w:b/>
                <w:bCs/>
                <w:sz w:val="20"/>
                <w:szCs w:val="20"/>
                <w:lang w:val="en-US" w:eastAsia="zh-CN"/>
              </w:rPr>
              <w:t xml:space="preserve">in SI phase </w:t>
            </w:r>
            <w:r>
              <w:rPr>
                <w:rFonts w:hint="default" w:ascii="Times New Roman" w:hAnsi="Times New Roman" w:cs="Times New Roman"/>
                <w:b/>
                <w:bCs/>
                <w:sz w:val="20"/>
                <w:szCs w:val="20"/>
                <w:lang w:val="en-US" w:eastAsia="zh-CN"/>
              </w:rPr>
              <w:t>(TR 38.769)</w:t>
            </w:r>
          </w:p>
          <w:p w14:paraId="23ECC522">
            <w:pPr>
              <w:ind w:left="568" w:hanging="284"/>
              <w:rPr>
                <w:rFonts w:hint="default" w:ascii="Times New Roman" w:hAnsi="Times New Roman" w:cs="Times New Roman"/>
                <w:sz w:val="20"/>
                <w:szCs w:val="20"/>
                <w:lang w:val="zh-CN" w:eastAsia="ko-KR"/>
              </w:rPr>
            </w:pPr>
            <w:r>
              <w:rPr>
                <w:rFonts w:hint="default" w:ascii="Times New Roman" w:hAnsi="Times New Roman" w:cs="Times New Roman"/>
                <w:sz w:val="20"/>
                <w:szCs w:val="20"/>
                <w:lang w:val="zh-CN" w:eastAsia="ko-KR"/>
              </w:rPr>
              <w:t>-</w:t>
            </w:r>
            <w:r>
              <w:rPr>
                <w:rFonts w:hint="default" w:ascii="Times New Roman" w:hAnsi="Times New Roman" w:cs="Times New Roman"/>
                <w:sz w:val="20"/>
                <w:szCs w:val="20"/>
                <w:lang w:val="zh-CN" w:eastAsia="ko-KR"/>
              </w:rPr>
              <w:tab/>
            </w:r>
            <w:r>
              <w:rPr>
                <w:rFonts w:hint="default" w:ascii="Times New Roman" w:hAnsi="Times New Roman" w:cs="Times New Roman"/>
                <w:b/>
                <w:sz w:val="20"/>
                <w:szCs w:val="20"/>
                <w:lang w:val="zh-CN" w:eastAsia="ko-KR"/>
              </w:rPr>
              <w:t>Step 1</w:t>
            </w:r>
            <w:r>
              <w:rPr>
                <w:rFonts w:hint="default" w:ascii="Times New Roman" w:hAnsi="Times New Roman" w:cs="Times New Roman"/>
                <w:sz w:val="20"/>
                <w:szCs w:val="20"/>
                <w:lang w:val="zh-CN" w:eastAsia="ko-KR"/>
              </w:rPr>
              <w:t>: Random access type (i.e., contention-free or contention-based) and access occasion/resource determination:</w:t>
            </w:r>
          </w:p>
          <w:p w14:paraId="4D537F38">
            <w:pPr>
              <w:ind w:left="851" w:hanging="284"/>
              <w:rPr>
                <w:rFonts w:hint="default" w:ascii="Times New Roman" w:hAnsi="Times New Roman" w:eastAsia="等线" w:cs="Times New Roman"/>
                <w:sz w:val="20"/>
                <w:szCs w:val="20"/>
                <w:lang w:val="zh-CN" w:eastAsia="zh-CN"/>
              </w:rPr>
            </w:pPr>
            <w:r>
              <w:rPr>
                <w:rFonts w:hint="default" w:ascii="Times New Roman" w:hAnsi="Times New Roman" w:eastAsia="等线" w:cs="Times New Roman"/>
                <w:sz w:val="20"/>
                <w:szCs w:val="20"/>
                <w:lang w:val="zh-CN" w:eastAsia="zh-CN"/>
              </w:rPr>
              <w:t>-</w:t>
            </w:r>
            <w:r>
              <w:rPr>
                <w:rFonts w:hint="default" w:ascii="Times New Roman" w:hAnsi="Times New Roman" w:eastAsia="等线" w:cs="Times New Roman"/>
                <w:sz w:val="20"/>
                <w:szCs w:val="20"/>
                <w:lang w:val="zh-CN" w:eastAsia="zh-CN"/>
              </w:rPr>
              <w:tab/>
            </w:r>
            <w:r>
              <w:rPr>
                <w:rFonts w:hint="default" w:ascii="Times New Roman" w:hAnsi="Times New Roman" w:eastAsia="等线" w:cs="Times New Roman"/>
                <w:sz w:val="20"/>
                <w:szCs w:val="20"/>
                <w:lang w:val="zh-CN" w:eastAsia="zh-CN"/>
              </w:rPr>
              <w:t>The A-IoT device determines the random access type from the A-IoT paging message,</w:t>
            </w:r>
            <w:r>
              <w:rPr>
                <w:rFonts w:hint="default" w:ascii="Times New Roman" w:hAnsi="Times New Roman" w:cs="Times New Roman"/>
                <w:sz w:val="20"/>
                <w:szCs w:val="20"/>
                <w:lang w:val="zh-CN" w:eastAsia="zh-CN"/>
              </w:rPr>
              <w:t xml:space="preserve"> in accordance to clause 6.3.3</w:t>
            </w:r>
            <w:r>
              <w:rPr>
                <w:rFonts w:hint="default" w:ascii="Times New Roman" w:hAnsi="Times New Roman" w:eastAsia="等线" w:cs="Times New Roman"/>
                <w:sz w:val="20"/>
                <w:szCs w:val="20"/>
                <w:lang w:val="zh-CN" w:eastAsia="zh-CN"/>
              </w:rPr>
              <w:t xml:space="preserve">. </w:t>
            </w:r>
            <w:r>
              <w:rPr>
                <w:rFonts w:hint="default" w:ascii="Times New Roman" w:hAnsi="Times New Roman" w:cs="Times New Roman"/>
                <w:sz w:val="20"/>
                <w:szCs w:val="20"/>
                <w:lang w:val="zh-CN" w:eastAsia="zh-CN"/>
              </w:rPr>
              <w:t>The reader can configure either contention-free access or contention-based random access (and the corresponding configurations).</w:t>
            </w:r>
            <w:r>
              <w:rPr>
                <w:rFonts w:hint="default" w:ascii="Times New Roman" w:hAnsi="Times New Roman" w:eastAsia="等线" w:cs="Times New Roman"/>
                <w:sz w:val="20"/>
                <w:szCs w:val="20"/>
                <w:lang w:val="zh-CN" w:eastAsia="zh-CN"/>
              </w:rPr>
              <w:t xml:space="preserve"> It </w:t>
            </w:r>
            <w:r>
              <w:rPr>
                <w:rFonts w:hint="default" w:ascii="Times New Roman" w:hAnsi="Times New Roman" w:cs="Times New Roman"/>
                <w:sz w:val="20"/>
                <w:szCs w:val="20"/>
                <w:lang w:val="zh-CN" w:eastAsia="zh-CN"/>
              </w:rPr>
              <w:t xml:space="preserve">needs to </w:t>
            </w:r>
            <w:r>
              <w:rPr>
                <w:rFonts w:hint="default" w:ascii="Times New Roman" w:hAnsi="Times New Roman" w:eastAsia="等线" w:cs="Times New Roman"/>
                <w:sz w:val="20"/>
                <w:szCs w:val="20"/>
                <w:lang w:val="zh-CN" w:eastAsia="zh-CN"/>
              </w:rPr>
              <w:t>be further discussed on whether it is explicitly or implicitly.</w:t>
            </w:r>
          </w:p>
          <w:p w14:paraId="17446754">
            <w:pPr>
              <w:ind w:left="851" w:hanging="284"/>
              <w:rPr>
                <w:rFonts w:hint="default" w:ascii="Times New Roman" w:hAnsi="Times New Roman" w:cs="Times New Roman"/>
                <w:sz w:val="20"/>
                <w:szCs w:val="20"/>
                <w:lang w:val="zh-CN" w:eastAsia="zh-CN"/>
              </w:rPr>
            </w:pPr>
            <w:r>
              <w:rPr>
                <w:rFonts w:hint="default" w:ascii="Times New Roman" w:hAnsi="Times New Roman" w:cs="Times New Roman"/>
                <w:sz w:val="20"/>
                <w:szCs w:val="20"/>
                <w:lang w:val="zh-CN" w:eastAsia="zh-CN"/>
              </w:rPr>
              <w:t>-</w:t>
            </w:r>
            <w:r>
              <w:rPr>
                <w:rFonts w:hint="default" w:ascii="Times New Roman" w:hAnsi="Times New Roman" w:cs="Times New Roman"/>
                <w:sz w:val="20"/>
                <w:szCs w:val="20"/>
                <w:lang w:val="zh-CN" w:eastAsia="zh-CN"/>
              </w:rPr>
              <w:tab/>
            </w:r>
            <w:r>
              <w:rPr>
                <w:rFonts w:hint="default" w:ascii="Times New Roman" w:hAnsi="Times New Roman" w:cs="Times New Roman"/>
                <w:sz w:val="20"/>
                <w:szCs w:val="20"/>
                <w:lang w:val="zh-CN" w:eastAsia="zh-CN"/>
              </w:rPr>
              <w:t>If the random access is contention-free access:</w:t>
            </w:r>
          </w:p>
          <w:p w14:paraId="363CCF24">
            <w:pPr>
              <w:ind w:left="1135" w:hanging="284"/>
              <w:rPr>
                <w:rFonts w:hint="default" w:ascii="Times New Roman" w:hAnsi="Times New Roman" w:cs="Times New Roman"/>
                <w:sz w:val="20"/>
                <w:szCs w:val="20"/>
                <w:lang w:val="zh-CN" w:eastAsia="zh-CN"/>
              </w:rPr>
            </w:pPr>
            <w:r>
              <w:rPr>
                <w:rFonts w:hint="default" w:ascii="Times New Roman" w:hAnsi="Times New Roman" w:cs="Times New Roman"/>
                <w:sz w:val="20"/>
                <w:szCs w:val="20"/>
                <w:lang w:val="zh-CN" w:eastAsia="zh-CN"/>
              </w:rPr>
              <w:t>-</w:t>
            </w:r>
            <w:r>
              <w:rPr>
                <w:rFonts w:hint="default" w:ascii="Times New Roman" w:hAnsi="Times New Roman" w:cs="Times New Roman"/>
                <w:sz w:val="20"/>
                <w:szCs w:val="20"/>
                <w:lang w:val="zh-CN" w:eastAsia="zh-CN"/>
              </w:rPr>
              <w:tab/>
            </w:r>
            <w:r>
              <w:rPr>
                <w:rFonts w:hint="default" w:ascii="Times New Roman" w:hAnsi="Times New Roman" w:cs="Times New Roman"/>
                <w:sz w:val="20"/>
                <w:szCs w:val="20"/>
                <w:lang w:val="zh-CN" w:eastAsia="zh-CN"/>
              </w:rPr>
              <w:t>Selects the indicated D2R occasion/resource;</w:t>
            </w:r>
          </w:p>
          <w:p w14:paraId="55E378CF">
            <w:pPr>
              <w:ind w:left="1135" w:hanging="284"/>
              <w:rPr>
                <w:rFonts w:hint="default" w:ascii="Times New Roman" w:hAnsi="Times New Roman" w:cs="Times New Roman"/>
                <w:sz w:val="20"/>
                <w:szCs w:val="20"/>
                <w:lang w:val="zh-CN" w:eastAsia="zh-CN"/>
              </w:rPr>
            </w:pPr>
            <w:r>
              <w:rPr>
                <w:rFonts w:hint="default" w:ascii="Times New Roman" w:hAnsi="Times New Roman" w:cs="Times New Roman"/>
                <w:sz w:val="20"/>
                <w:szCs w:val="20"/>
                <w:lang w:val="zh-CN" w:eastAsia="zh-CN"/>
              </w:rPr>
              <w:t>-</w:t>
            </w:r>
            <w:r>
              <w:rPr>
                <w:rFonts w:hint="default" w:ascii="Times New Roman" w:hAnsi="Times New Roman" w:cs="Times New Roman"/>
                <w:sz w:val="20"/>
                <w:szCs w:val="20"/>
                <w:lang w:val="zh-CN" w:eastAsia="zh-CN"/>
              </w:rPr>
              <w:tab/>
            </w:r>
            <w:r>
              <w:rPr>
                <w:rFonts w:hint="default" w:ascii="Times New Roman" w:hAnsi="Times New Roman" w:cs="Times New Roman"/>
                <w:sz w:val="20"/>
                <w:szCs w:val="20"/>
                <w:lang w:val="zh-CN" w:eastAsia="zh-CN"/>
              </w:rPr>
              <w:t>Skips the contention resolution in Step 2 and performs the data transmission in accordance to clause 6.3.5.</w:t>
            </w:r>
          </w:p>
          <w:p w14:paraId="129E8A26">
            <w:pPr>
              <w:ind w:left="851" w:hanging="284"/>
              <w:rPr>
                <w:rFonts w:hint="default" w:ascii="Times New Roman" w:hAnsi="Times New Roman" w:cs="Times New Roman"/>
                <w:sz w:val="20"/>
                <w:szCs w:val="20"/>
                <w:lang w:val="zh-CN" w:eastAsia="zh-CN"/>
              </w:rPr>
            </w:pPr>
            <w:r>
              <w:rPr>
                <w:rFonts w:hint="default" w:ascii="Times New Roman" w:hAnsi="Times New Roman" w:cs="Times New Roman"/>
                <w:sz w:val="20"/>
                <w:szCs w:val="20"/>
                <w:lang w:val="zh-CN" w:eastAsia="zh-CN"/>
              </w:rPr>
              <w:t>-</w:t>
            </w:r>
            <w:r>
              <w:rPr>
                <w:rFonts w:hint="default" w:ascii="Times New Roman" w:hAnsi="Times New Roman" w:cs="Times New Roman"/>
                <w:sz w:val="20"/>
                <w:szCs w:val="20"/>
                <w:lang w:val="zh-CN" w:eastAsia="zh-CN"/>
              </w:rPr>
              <w:tab/>
            </w:r>
            <w:r>
              <w:rPr>
                <w:rFonts w:hint="default" w:ascii="Times New Roman" w:hAnsi="Times New Roman" w:cs="Times New Roman"/>
                <w:sz w:val="20"/>
                <w:szCs w:val="20"/>
                <w:lang w:val="zh-CN" w:eastAsia="zh-CN"/>
              </w:rPr>
              <w:t>If the random access is contention-based random access:</w:t>
            </w:r>
          </w:p>
          <w:p w14:paraId="67268B53">
            <w:pPr>
              <w:ind w:left="1135" w:hanging="284"/>
              <w:rPr>
                <w:rFonts w:hint="default" w:ascii="Times New Roman" w:hAnsi="Times New Roman" w:cs="Times New Roman"/>
                <w:sz w:val="20"/>
                <w:szCs w:val="20"/>
                <w:lang w:val="zh-CN" w:eastAsia="zh-CN"/>
              </w:rPr>
            </w:pPr>
            <w:r>
              <w:rPr>
                <w:rFonts w:hint="default" w:ascii="Times New Roman" w:hAnsi="Times New Roman" w:cs="Times New Roman"/>
                <w:sz w:val="20"/>
                <w:szCs w:val="20"/>
                <w:lang w:val="zh-CN" w:eastAsia="zh-CN"/>
              </w:rPr>
              <w:t>-</w:t>
            </w:r>
            <w:r>
              <w:rPr>
                <w:rFonts w:hint="default" w:ascii="Times New Roman" w:hAnsi="Times New Roman" w:cs="Times New Roman"/>
                <w:sz w:val="20"/>
                <w:szCs w:val="20"/>
                <w:lang w:val="zh-CN" w:eastAsia="zh-CN"/>
              </w:rPr>
              <w:tab/>
            </w:r>
            <w:r>
              <w:rPr>
                <w:rFonts w:hint="default" w:ascii="Times New Roman" w:hAnsi="Times New Roman" w:cs="Times New Roman"/>
                <w:sz w:val="20"/>
                <w:szCs w:val="20"/>
                <w:lang w:val="zh-CN" w:eastAsia="zh-CN"/>
              </w:rPr>
              <w:t>Performs access occasion/resource selection: as the baseline for CBRA, at least for TDMA case, the device can randomly select one access occasion for A-IoT Msg1 within the access occasions provided/assigned by the reader. It needs to be further discussed if this is applicable to FDMA case. Further enhancement option(s) can be also considered after more physical layer detailed design on TDMA and FDMA;</w:t>
            </w:r>
          </w:p>
          <w:p w14:paraId="4CBBDFD8">
            <w:pPr>
              <w:ind w:left="1135" w:hanging="284"/>
              <w:rPr>
                <w:rFonts w:hint="default" w:ascii="Times New Roman" w:hAnsi="Times New Roman" w:cs="Times New Roman"/>
                <w:sz w:val="20"/>
                <w:szCs w:val="20"/>
                <w:lang w:val="zh-CN" w:eastAsia="zh-CN"/>
              </w:rPr>
            </w:pPr>
            <w:r>
              <w:rPr>
                <w:rFonts w:hint="default" w:ascii="Times New Roman" w:hAnsi="Times New Roman" w:cs="Times New Roman"/>
                <w:sz w:val="20"/>
                <w:szCs w:val="20"/>
                <w:lang w:val="zh-CN" w:eastAsia="zh-CN"/>
              </w:rPr>
              <w:t>-</w:t>
            </w:r>
            <w:r>
              <w:rPr>
                <w:rFonts w:hint="default" w:ascii="Times New Roman" w:hAnsi="Times New Roman" w:cs="Times New Roman"/>
                <w:sz w:val="20"/>
                <w:szCs w:val="20"/>
                <w:lang w:val="zh-CN" w:eastAsia="zh-CN"/>
              </w:rPr>
              <w:tab/>
            </w:r>
            <w:r>
              <w:rPr>
                <w:rFonts w:hint="default" w:ascii="Times New Roman" w:hAnsi="Times New Roman" w:cs="Times New Roman"/>
                <w:sz w:val="20"/>
                <w:szCs w:val="20"/>
                <w:lang w:val="zh-CN" w:eastAsia="zh-CN"/>
              </w:rPr>
              <w:t>Performs the Step 2 for contention resolution.</w:t>
            </w:r>
          </w:p>
          <w:p w14:paraId="5E874280">
            <w:pPr>
              <w:ind w:left="568" w:hanging="284"/>
              <w:rPr>
                <w:rFonts w:hint="default" w:ascii="Times New Roman" w:hAnsi="Times New Roman" w:cs="Times New Roman"/>
                <w:sz w:val="20"/>
                <w:szCs w:val="20"/>
                <w:lang w:val="zh-CN" w:eastAsia="ko-KR"/>
              </w:rPr>
            </w:pPr>
            <w:r>
              <w:rPr>
                <w:rFonts w:hint="default" w:ascii="Times New Roman" w:hAnsi="Times New Roman" w:cs="Times New Roman"/>
                <w:sz w:val="20"/>
                <w:szCs w:val="20"/>
                <w:lang w:val="zh-CN" w:eastAsia="ko-KR"/>
              </w:rPr>
              <w:t>-</w:t>
            </w:r>
            <w:r>
              <w:rPr>
                <w:rFonts w:hint="default" w:ascii="Times New Roman" w:hAnsi="Times New Roman" w:cs="Times New Roman"/>
                <w:sz w:val="20"/>
                <w:szCs w:val="20"/>
                <w:lang w:val="zh-CN" w:eastAsia="ko-KR"/>
              </w:rPr>
              <w:tab/>
            </w:r>
            <w:r>
              <w:rPr>
                <w:rFonts w:hint="default" w:ascii="Times New Roman" w:hAnsi="Times New Roman" w:cs="Times New Roman"/>
                <w:b/>
                <w:sz w:val="20"/>
                <w:szCs w:val="20"/>
                <w:lang w:val="zh-CN" w:eastAsia="zh-CN"/>
              </w:rPr>
              <w:t xml:space="preserve">Step </w:t>
            </w:r>
            <w:r>
              <w:rPr>
                <w:rFonts w:hint="default" w:ascii="Times New Roman" w:hAnsi="Times New Roman" w:cs="Times New Roman"/>
                <w:b/>
                <w:sz w:val="20"/>
                <w:szCs w:val="20"/>
                <w:lang w:val="zh-CN" w:eastAsia="ko-KR"/>
              </w:rPr>
              <w:t>2</w:t>
            </w:r>
            <w:r>
              <w:rPr>
                <w:rFonts w:hint="default" w:ascii="Times New Roman" w:hAnsi="Times New Roman" w:cs="Times New Roman"/>
                <w:sz w:val="20"/>
                <w:szCs w:val="20"/>
                <w:lang w:val="zh-CN" w:eastAsia="ko-KR"/>
              </w:rPr>
              <w:t>: Contention resolution of contention-based random access:</w:t>
            </w:r>
          </w:p>
          <w:p w14:paraId="060F0AF6">
            <w:pPr>
              <w:ind w:left="851" w:hanging="284"/>
              <w:rPr>
                <w:rFonts w:hint="default" w:ascii="Times New Roman" w:hAnsi="Times New Roman" w:cs="Times New Roman"/>
                <w:sz w:val="20"/>
                <w:szCs w:val="20"/>
                <w:lang w:val="zh-CN" w:eastAsia="zh-CN"/>
              </w:rPr>
            </w:pPr>
            <w:r>
              <w:rPr>
                <w:rFonts w:hint="default" w:ascii="Times New Roman" w:hAnsi="Times New Roman" w:cs="Times New Roman"/>
                <w:sz w:val="20"/>
                <w:szCs w:val="20"/>
                <w:lang w:val="zh-CN" w:eastAsia="zh-CN"/>
              </w:rPr>
              <w:t>-</w:t>
            </w:r>
            <w:r>
              <w:rPr>
                <w:rFonts w:hint="default" w:ascii="Times New Roman" w:hAnsi="Times New Roman" w:cs="Times New Roman"/>
                <w:sz w:val="20"/>
                <w:szCs w:val="20"/>
                <w:lang w:val="zh-CN" w:eastAsia="zh-CN"/>
              </w:rPr>
              <w:tab/>
            </w:r>
            <w:r>
              <w:rPr>
                <w:rFonts w:hint="default" w:ascii="Times New Roman" w:hAnsi="Times New Roman" w:cs="Times New Roman"/>
                <w:sz w:val="20"/>
                <w:szCs w:val="20"/>
                <w:lang w:val="zh-CN" w:eastAsia="zh-CN"/>
              </w:rPr>
              <w:t xml:space="preserve">There are </w:t>
            </w:r>
            <w:r>
              <w:rPr>
                <w:rFonts w:hint="default" w:ascii="Times New Roman" w:hAnsi="Times New Roman" w:cs="Times New Roman"/>
                <w:sz w:val="20"/>
                <w:szCs w:val="20"/>
                <w:lang w:val="en-US" w:eastAsia="zh-CN"/>
              </w:rPr>
              <w:t>three</w:t>
            </w:r>
            <w:r>
              <w:rPr>
                <w:rFonts w:hint="default" w:ascii="Times New Roman" w:hAnsi="Times New Roman" w:cs="Times New Roman"/>
                <w:sz w:val="20"/>
                <w:szCs w:val="20"/>
                <w:lang w:val="zh-CN" w:eastAsia="zh-CN"/>
              </w:rPr>
              <w:t xml:space="preserve"> candidate solutions being studied for the contention resolution, as below (it needs to be further discussed on the down selection and/or the unified design):</w:t>
            </w:r>
          </w:p>
          <w:p w14:paraId="0A242669">
            <w:pPr>
              <w:ind w:left="1135" w:hanging="284"/>
              <w:rPr>
                <w:rFonts w:hint="default" w:ascii="Times New Roman" w:hAnsi="Times New Roman" w:cs="Times New Roman"/>
                <w:b/>
                <w:bCs/>
                <w:i/>
                <w:iCs/>
                <w:sz w:val="20"/>
                <w:szCs w:val="20"/>
                <w:lang w:val="zh-CN" w:eastAsia="zh-CN"/>
              </w:rPr>
            </w:pPr>
            <w:r>
              <w:rPr>
                <w:rFonts w:hint="default" w:ascii="Times New Roman" w:hAnsi="Times New Roman" w:cs="Times New Roman"/>
                <w:sz w:val="20"/>
                <w:szCs w:val="20"/>
                <w:lang w:val="zh-CN" w:eastAsia="zh-CN"/>
              </w:rPr>
              <w:t>-</w:t>
            </w:r>
            <w:r>
              <w:rPr>
                <w:rFonts w:hint="default" w:ascii="Times New Roman" w:hAnsi="Times New Roman" w:cs="Times New Roman"/>
                <w:sz w:val="20"/>
                <w:szCs w:val="20"/>
                <w:lang w:val="zh-CN" w:eastAsia="zh-CN"/>
              </w:rPr>
              <w:tab/>
            </w:r>
            <w:r>
              <w:rPr>
                <w:rFonts w:hint="default" w:ascii="Times New Roman" w:hAnsi="Times New Roman" w:cs="Times New Roman"/>
                <w:b/>
                <w:bCs/>
                <w:i/>
                <w:iCs/>
                <w:sz w:val="20"/>
                <w:szCs w:val="20"/>
                <w:lang w:val="zh-CN" w:eastAsia="zh-CN"/>
              </w:rPr>
              <w:t>Solution 1: A-IoT Msg1 without data</w:t>
            </w:r>
          </w:p>
          <w:p w14:paraId="27E22F9C">
            <w:pPr>
              <w:ind w:left="1418" w:hanging="284"/>
              <w:rPr>
                <w:rFonts w:hint="default" w:ascii="Times New Roman" w:hAnsi="Times New Roman" w:cs="Times New Roman"/>
                <w:sz w:val="20"/>
                <w:szCs w:val="20"/>
                <w:lang w:val="zh-CN" w:eastAsia="zh-CN"/>
              </w:rPr>
            </w:pPr>
            <w:r>
              <w:rPr>
                <w:rFonts w:hint="default" w:ascii="Times New Roman" w:hAnsi="Times New Roman" w:cs="Times New Roman"/>
                <w:sz w:val="20"/>
                <w:szCs w:val="20"/>
                <w:lang w:val="zh-CN" w:eastAsia="zh-CN"/>
              </w:rPr>
              <w:t>-</w:t>
            </w:r>
            <w:r>
              <w:rPr>
                <w:rFonts w:hint="default" w:ascii="Times New Roman" w:hAnsi="Times New Roman" w:cs="Times New Roman"/>
                <w:sz w:val="20"/>
                <w:szCs w:val="20"/>
                <w:lang w:val="zh-CN" w:eastAsia="zh-CN"/>
              </w:rPr>
              <w:tab/>
            </w:r>
            <w:r>
              <w:rPr>
                <w:rFonts w:hint="default" w:ascii="Times New Roman" w:hAnsi="Times New Roman" w:cs="Times New Roman"/>
                <w:sz w:val="20"/>
                <w:szCs w:val="20"/>
                <w:lang w:val="zh-CN" w:eastAsia="zh-CN"/>
              </w:rPr>
              <w:t xml:space="preserve">A-IoT Msg1: When the A-IoT device identifies the start of its own access occasion, it sends </w:t>
            </w:r>
            <w:bookmarkStart w:id="9" w:name="_Hlk163113644"/>
            <w:r>
              <w:rPr>
                <w:rFonts w:hint="default" w:ascii="Times New Roman" w:hAnsi="Times New Roman" w:cs="Times New Roman"/>
                <w:sz w:val="20"/>
                <w:szCs w:val="20"/>
                <w:lang w:val="zh-CN" w:eastAsia="zh-CN"/>
              </w:rPr>
              <w:t>one 16-bit random ID generated by the A-IoT device to the reader.</w:t>
            </w:r>
          </w:p>
          <w:bookmarkEnd w:id="9"/>
          <w:p w14:paraId="330B11CA">
            <w:pPr>
              <w:ind w:left="1418" w:hanging="284"/>
              <w:rPr>
                <w:rFonts w:hint="default" w:ascii="Times New Roman" w:hAnsi="Times New Roman" w:cs="Times New Roman"/>
                <w:sz w:val="20"/>
                <w:szCs w:val="20"/>
                <w:lang w:val="zh-CN" w:eastAsia="zh-CN"/>
              </w:rPr>
            </w:pPr>
            <w:r>
              <w:rPr>
                <w:rFonts w:hint="default" w:ascii="Times New Roman" w:hAnsi="Times New Roman" w:cs="Times New Roman"/>
                <w:sz w:val="20"/>
                <w:szCs w:val="20"/>
                <w:lang w:val="zh-CN" w:eastAsia="zh-CN"/>
              </w:rPr>
              <w:t>-</w:t>
            </w:r>
            <w:r>
              <w:rPr>
                <w:rFonts w:hint="default" w:ascii="Times New Roman" w:hAnsi="Times New Roman" w:cs="Times New Roman"/>
                <w:sz w:val="20"/>
                <w:szCs w:val="20"/>
                <w:lang w:val="zh-CN" w:eastAsia="zh-CN"/>
              </w:rPr>
              <w:tab/>
            </w:r>
            <w:r>
              <w:rPr>
                <w:rFonts w:hint="default" w:ascii="Times New Roman" w:hAnsi="Times New Roman" w:cs="Times New Roman"/>
                <w:sz w:val="20"/>
                <w:szCs w:val="20"/>
                <w:lang w:val="zh-CN" w:eastAsia="zh-CN"/>
              </w:rPr>
              <w:t xml:space="preserve">A-IoT Msg2: The reader responds with the successfully received random ID. </w:t>
            </w:r>
          </w:p>
          <w:p w14:paraId="4AB64481">
            <w:pPr>
              <w:ind w:left="1418" w:hanging="284"/>
              <w:rPr>
                <w:rFonts w:hint="default" w:ascii="Times New Roman" w:hAnsi="Times New Roman" w:cs="Times New Roman"/>
                <w:sz w:val="20"/>
                <w:szCs w:val="20"/>
                <w:lang w:val="zh-CN" w:eastAsia="zh-CN"/>
              </w:rPr>
            </w:pPr>
            <w:r>
              <w:rPr>
                <w:rFonts w:hint="default" w:ascii="Times New Roman" w:hAnsi="Times New Roman" w:cs="Times New Roman"/>
                <w:sz w:val="20"/>
                <w:szCs w:val="20"/>
                <w:lang w:val="zh-CN" w:eastAsia="zh-CN"/>
              </w:rPr>
              <w:tab/>
            </w:r>
            <w:r>
              <w:rPr>
                <w:rFonts w:hint="default" w:ascii="Times New Roman" w:hAnsi="Times New Roman" w:cs="Times New Roman"/>
                <w:sz w:val="20"/>
                <w:szCs w:val="20"/>
                <w:lang w:val="zh-CN" w:eastAsia="zh-CN"/>
              </w:rPr>
              <w:t xml:space="preserve">If the A-IoT device receives the A-IoT Msg2 including a random ID, which is the same as the previously transmitted one in A-IoT Msg1, it considers the contention resolution as successful. </w:t>
            </w:r>
          </w:p>
          <w:p w14:paraId="326EDFE4">
            <w:pPr>
              <w:ind w:left="1135" w:hanging="284"/>
              <w:rPr>
                <w:rFonts w:hint="default" w:ascii="Times New Roman" w:hAnsi="Times New Roman" w:eastAsia="宋体" w:cs="Times New Roman"/>
                <w:b/>
                <w:bCs/>
                <w:i/>
                <w:iCs/>
                <w:sz w:val="20"/>
                <w:szCs w:val="20"/>
                <w:lang w:val="zh-CN" w:eastAsia="zh-CN"/>
              </w:rPr>
            </w:pPr>
            <w:r>
              <w:rPr>
                <w:rFonts w:hint="default" w:ascii="Times New Roman" w:hAnsi="Times New Roman" w:eastAsia="宋体" w:cs="Times New Roman"/>
                <w:sz w:val="20"/>
                <w:szCs w:val="20"/>
                <w:lang w:val="zh-CN" w:eastAsia="zh-CN"/>
              </w:rPr>
              <w:t>-</w:t>
            </w:r>
            <w:r>
              <w:rPr>
                <w:rFonts w:hint="default" w:ascii="Times New Roman" w:hAnsi="Times New Roman" w:eastAsia="宋体" w:cs="Times New Roman"/>
                <w:sz w:val="20"/>
                <w:szCs w:val="20"/>
                <w:lang w:val="zh-CN" w:eastAsia="zh-CN"/>
              </w:rPr>
              <w:tab/>
            </w:r>
            <w:r>
              <w:rPr>
                <w:rFonts w:hint="default" w:ascii="Times New Roman" w:hAnsi="Times New Roman" w:eastAsia="宋体" w:cs="Times New Roman"/>
                <w:b/>
                <w:bCs/>
                <w:i/>
                <w:iCs/>
                <w:sz w:val="20"/>
                <w:szCs w:val="20"/>
                <w:lang w:val="zh-CN" w:eastAsia="zh-CN"/>
              </w:rPr>
              <w:t xml:space="preserve">Solution 2: </w:t>
            </w:r>
            <w:r>
              <w:rPr>
                <w:rFonts w:hint="default" w:ascii="Times New Roman" w:hAnsi="Times New Roman" w:cs="Times New Roman"/>
                <w:b/>
                <w:bCs/>
                <w:i/>
                <w:iCs/>
                <w:sz w:val="20"/>
                <w:szCs w:val="20"/>
                <w:lang w:val="en-US" w:eastAsia="zh-CN" w:bidi="ar"/>
              </w:rPr>
              <w:t>A-IoT Msg1 with data</w:t>
            </w:r>
          </w:p>
          <w:p w14:paraId="628FFBD4">
            <w:pPr>
              <w:ind w:left="1418" w:hanging="284"/>
              <w:rPr>
                <w:rFonts w:hint="default" w:ascii="Times New Roman" w:hAnsi="Times New Roman" w:cs="Times New Roman"/>
                <w:sz w:val="20"/>
                <w:szCs w:val="20"/>
                <w:lang w:val="zh-CN" w:eastAsia="zh-CN"/>
              </w:rPr>
            </w:pP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zh-CN" w:eastAsia="zh-CN"/>
              </w:rPr>
              <w:t xml:space="preserve">A-IoT Msg1: When the A-IoT device identifies the start of its own access occasion, it sends the A-IoT Msg1 including the upper layer data, which can be the device ID and/or any other upper layer data, in addition to one 16-bit random ID generated by the A-IoT device to the reader. </w:t>
            </w:r>
          </w:p>
          <w:p w14:paraId="0EB3766A">
            <w:pPr>
              <w:ind w:left="1418" w:hanging="284"/>
              <w:rPr>
                <w:rFonts w:hint="default" w:ascii="Times New Roman" w:hAnsi="Times New Roman" w:eastAsia="宋体" w:cs="Times New Roman"/>
                <w:sz w:val="20"/>
                <w:szCs w:val="20"/>
                <w:lang w:val="zh-CN" w:eastAsia="zh-CN"/>
              </w:rPr>
            </w:pP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zh-CN" w:eastAsia="zh-CN"/>
              </w:rPr>
              <w:t>A-IoT</w:t>
            </w:r>
            <w:r>
              <w:rPr>
                <w:rFonts w:hint="default" w:ascii="Times New Roman" w:hAnsi="Times New Roman" w:eastAsia="宋体" w:cs="Times New Roman"/>
                <w:sz w:val="20"/>
                <w:szCs w:val="20"/>
                <w:lang w:val="zh-CN" w:eastAsia="zh-CN"/>
              </w:rPr>
              <w:t xml:space="preserve"> Msg2: The reader may respond with the </w:t>
            </w:r>
            <w:r>
              <w:rPr>
                <w:rFonts w:hint="default" w:ascii="Times New Roman" w:hAnsi="Times New Roman" w:cs="Times New Roman"/>
                <w:sz w:val="20"/>
                <w:szCs w:val="20"/>
                <w:lang w:val="zh-CN" w:eastAsia="zh-CN"/>
              </w:rPr>
              <w:t>successfully received random ID</w:t>
            </w:r>
            <w:r>
              <w:rPr>
                <w:rFonts w:hint="default" w:ascii="Times New Roman" w:hAnsi="Times New Roman" w:eastAsia="宋体" w:cs="Times New Roman"/>
                <w:sz w:val="20"/>
                <w:szCs w:val="20"/>
                <w:lang w:val="zh-CN" w:eastAsia="zh-CN"/>
              </w:rPr>
              <w:t>.</w:t>
            </w:r>
          </w:p>
          <w:p w14:paraId="15D279E8">
            <w:pPr>
              <w:ind w:left="1418" w:hanging="284"/>
              <w:rPr>
                <w:rFonts w:hint="default" w:ascii="Times New Roman" w:hAnsi="Times New Roman" w:cs="Times New Roman"/>
                <w:sz w:val="20"/>
                <w:szCs w:val="20"/>
                <w:lang w:val="zh-CN" w:eastAsia="zh-CN"/>
              </w:rPr>
            </w:pPr>
            <w:r>
              <w:rPr>
                <w:rFonts w:hint="default" w:ascii="Times New Roman" w:hAnsi="Times New Roman" w:cs="Times New Roman"/>
                <w:sz w:val="20"/>
                <w:szCs w:val="20"/>
                <w:lang w:val="zh-CN" w:eastAsia="zh-CN"/>
              </w:rPr>
              <w:tab/>
            </w:r>
            <w:r>
              <w:rPr>
                <w:rFonts w:hint="default" w:ascii="Times New Roman" w:hAnsi="Times New Roman" w:cs="Times New Roman"/>
                <w:sz w:val="20"/>
                <w:szCs w:val="20"/>
                <w:lang w:val="zh-CN" w:eastAsia="zh-CN"/>
              </w:rPr>
              <w:t xml:space="preserve">If the A-IoT device receives the A-IoT Msg2 including a random ID, which is the same as the previously transmitted one in A-IoT Msg1, it considers the contention resolution as successful. If the A-IoT Msg2 is not received by the device, the re-access is not autonomously performed i.e., the re-access is always controlled by the reader.  </w:t>
            </w:r>
          </w:p>
          <w:p w14:paraId="469B7200">
            <w:pPr>
              <w:ind w:left="1135" w:hanging="284"/>
              <w:rPr>
                <w:rFonts w:hint="default" w:ascii="Times New Roman" w:hAnsi="Times New Roman" w:eastAsia="宋体" w:cs="Times New Roman"/>
                <w:b/>
                <w:bCs/>
                <w:i/>
                <w:iCs/>
                <w:sz w:val="20"/>
                <w:szCs w:val="20"/>
                <w:lang w:val="zh-CN" w:eastAsia="zh-CN"/>
              </w:rPr>
            </w:pPr>
            <w:r>
              <w:rPr>
                <w:rFonts w:hint="default" w:ascii="Times New Roman" w:hAnsi="Times New Roman" w:eastAsia="宋体" w:cs="Times New Roman"/>
                <w:sz w:val="20"/>
                <w:szCs w:val="20"/>
                <w:lang w:val="zh-CN" w:eastAsia="zh-CN"/>
              </w:rPr>
              <w:t>-</w:t>
            </w:r>
            <w:r>
              <w:rPr>
                <w:rFonts w:hint="default" w:ascii="Times New Roman" w:hAnsi="Times New Roman" w:eastAsia="宋体" w:cs="Times New Roman"/>
                <w:sz w:val="20"/>
                <w:szCs w:val="20"/>
                <w:lang w:val="zh-CN" w:eastAsia="zh-CN"/>
              </w:rPr>
              <w:tab/>
            </w:r>
            <w:r>
              <w:rPr>
                <w:rFonts w:hint="default" w:ascii="Times New Roman" w:hAnsi="Times New Roman" w:eastAsia="宋体" w:cs="Times New Roman"/>
                <w:b/>
                <w:bCs/>
                <w:i/>
                <w:iCs/>
                <w:sz w:val="20"/>
                <w:szCs w:val="20"/>
                <w:lang w:val="zh-CN" w:eastAsia="zh-CN"/>
              </w:rPr>
              <w:t xml:space="preserve">Solution 3: </w:t>
            </w:r>
            <w:r>
              <w:rPr>
                <w:rFonts w:hint="default" w:ascii="Times New Roman" w:hAnsi="Times New Roman" w:cs="Times New Roman"/>
                <w:b/>
                <w:bCs/>
                <w:i/>
                <w:iCs/>
                <w:sz w:val="20"/>
                <w:szCs w:val="20"/>
                <w:lang w:val="en-US" w:eastAsia="zh-CN" w:bidi="ar"/>
              </w:rPr>
              <w:t>A-IoT Msg1 optionally includes data (unified solution supporting both Solution 1 and 2)</w:t>
            </w:r>
          </w:p>
          <w:p w14:paraId="636C9701">
            <w:pPr>
              <w:ind w:left="1418" w:hanging="284"/>
              <w:rPr>
                <w:rFonts w:hint="default" w:ascii="Times New Roman" w:hAnsi="Times New Roman" w:cs="Times New Roman"/>
                <w:color w:val="FF0000"/>
                <w:sz w:val="20"/>
                <w:szCs w:val="20"/>
                <w:lang w:val="zh-CN" w:eastAsia="zh-CN"/>
              </w:rPr>
            </w:pPr>
            <w:r>
              <w:rPr>
                <w:rFonts w:hint="default" w:ascii="Times New Roman" w:hAnsi="Times New Roman" w:cs="Times New Roman"/>
                <w:sz w:val="20"/>
                <w:szCs w:val="20"/>
                <w:lang w:val="zh-CN" w:eastAsia="zh-CN"/>
              </w:rPr>
              <w:t>-</w:t>
            </w:r>
            <w:r>
              <w:rPr>
                <w:rFonts w:hint="default" w:ascii="Times New Roman" w:hAnsi="Times New Roman" w:cs="Times New Roman"/>
                <w:sz w:val="20"/>
                <w:szCs w:val="20"/>
                <w:lang w:val="zh-CN" w:eastAsia="zh-CN"/>
              </w:rPr>
              <w:tab/>
            </w:r>
            <w:r>
              <w:rPr>
                <w:rFonts w:hint="default" w:ascii="Times New Roman" w:hAnsi="Times New Roman" w:cs="Times New Roman"/>
                <w:sz w:val="20"/>
                <w:szCs w:val="20"/>
                <w:lang w:val="zh-CN" w:eastAsia="zh-CN"/>
              </w:rPr>
              <w:t>A-IoT Msg1: When the A-IoT device identifies the start of its own access occasion, it sends one 16-bit random ID generated by the A-IoT device to the reader. In addition, it is controlled by the reader on whether to also include the upper layer data, which can be the device ID and/or any other upper layer data.</w:t>
            </w:r>
          </w:p>
          <w:p w14:paraId="1B271F8B">
            <w:pPr>
              <w:ind w:left="1418" w:hanging="284"/>
              <w:rPr>
                <w:rFonts w:hint="default" w:ascii="Times New Roman" w:hAnsi="Times New Roman" w:cs="Times New Roman"/>
                <w:sz w:val="20"/>
                <w:szCs w:val="20"/>
                <w:lang w:val="zh-CN" w:eastAsia="zh-CN"/>
              </w:rPr>
            </w:pPr>
            <w:r>
              <w:rPr>
                <w:rFonts w:hint="default" w:ascii="Times New Roman" w:hAnsi="Times New Roman" w:cs="Times New Roman"/>
                <w:sz w:val="20"/>
                <w:szCs w:val="20"/>
                <w:lang w:val="zh-CN" w:eastAsia="zh-CN"/>
              </w:rPr>
              <w:t>-</w:t>
            </w:r>
            <w:r>
              <w:rPr>
                <w:rFonts w:hint="default" w:ascii="Times New Roman" w:hAnsi="Times New Roman" w:cs="Times New Roman"/>
                <w:sz w:val="20"/>
                <w:szCs w:val="20"/>
                <w:lang w:val="zh-CN" w:eastAsia="zh-CN"/>
              </w:rPr>
              <w:tab/>
            </w:r>
            <w:r>
              <w:rPr>
                <w:rFonts w:hint="default" w:ascii="Times New Roman" w:hAnsi="Times New Roman" w:cs="Times New Roman"/>
                <w:sz w:val="20"/>
                <w:szCs w:val="20"/>
                <w:lang w:val="zh-CN" w:eastAsia="zh-CN"/>
              </w:rPr>
              <w:t xml:space="preserve">A-IoT Msg2: The reader responds with the successfully received random ID. </w:t>
            </w:r>
          </w:p>
          <w:p w14:paraId="030C8EF9">
            <w:pPr>
              <w:ind w:left="1418" w:hanging="284"/>
              <w:rPr>
                <w:rFonts w:hint="default" w:ascii="Times New Roman" w:hAnsi="Times New Roman" w:cs="Times New Roman"/>
                <w:sz w:val="20"/>
                <w:szCs w:val="20"/>
                <w:lang w:val="en-US" w:eastAsia="zh-CN"/>
              </w:rPr>
            </w:pPr>
            <w:r>
              <w:rPr>
                <w:rFonts w:hint="default" w:ascii="Times New Roman" w:hAnsi="Times New Roman" w:cs="Times New Roman"/>
                <w:sz w:val="20"/>
                <w:szCs w:val="20"/>
                <w:lang w:val="zh-CN" w:eastAsia="zh-CN"/>
              </w:rPr>
              <w:tab/>
            </w:r>
            <w:r>
              <w:rPr>
                <w:rFonts w:hint="default" w:ascii="Times New Roman" w:hAnsi="Times New Roman" w:cs="Times New Roman"/>
                <w:sz w:val="20"/>
                <w:szCs w:val="20"/>
                <w:lang w:val="zh-CN" w:eastAsia="zh-CN"/>
              </w:rPr>
              <w:t xml:space="preserve">If the A-IoT device receives the A-IoT Msg2 including a random ID, which is the same as the previously transmitted one in A-IoT Msg1, it considers the contention resolution as successful. </w:t>
            </w:r>
          </w:p>
        </w:tc>
      </w:tr>
    </w:tbl>
    <w:p w14:paraId="70546FD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2AC3553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RAN2 agreements in last meeting are duplicated as following. It can be seen that both contention-free RACH and contention-based RACH are supported. And only 3-step CBRA is supported for A-IoT. In legacy, requirements for random access are specified in TS 38.133. Similar approach can be considered for A-IoT. But for the details on how to specify the RRM requirements for A-IoT random access can be further discussed pending on RAN2 progress.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2D7A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4045C3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sz w:val="20"/>
                <w:szCs w:val="20"/>
                <w:lang w:val="en-US" w:eastAsia="zh-CN"/>
              </w:rPr>
              <w:t>Agreements in RAN2 #129 meeting</w:t>
            </w:r>
          </w:p>
          <w:p w14:paraId="643A9001">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For Rel-19, only 3-step CBRA is supported for A-IoT</w:t>
            </w:r>
          </w:p>
          <w:p w14:paraId="3648EFB7">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0" w:leftChars="0" w:firstLine="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 xml:space="preserve">We will specify both CBRA and CFRA. </w:t>
            </w:r>
          </w:p>
          <w:p w14:paraId="3C26945C">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0" w:leftChars="0" w:firstLine="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 xml:space="preserve">Re-use the subsequent paging message to trigger re-access.  There is no need to differentiate msg1 resource for initial access vs re-access.  </w:t>
            </w:r>
          </w:p>
        </w:tc>
      </w:tr>
    </w:tbl>
    <w:p w14:paraId="2E911FA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1106CFC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it is proposed to define RRM requirements for A-IoT random access procedure. </w:t>
      </w:r>
    </w:p>
    <w:p w14:paraId="2FB858A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bookmarkStart w:id="10" w:name="_GoBack"/>
      <w:bookmarkEnd w:id="10"/>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UE-to-UE CLI handling</w:t>
      </w:r>
      <w:r>
        <w:rPr>
          <w:rFonts w:hint="eastAsia" w:ascii="Times New Roman" w:hAnsi="Times New Roman"/>
          <w:sz w:val="20"/>
          <w:szCs w:val="20"/>
          <w:highlight w:val="none"/>
        </w:rPr>
        <w:t>. The proposals are:</w:t>
      </w:r>
    </w:p>
    <w:p w14:paraId="70E0168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Observation 1: according to the WID, device 1 and D1T1-B are considered.</w:t>
      </w:r>
    </w:p>
    <w:p w14:paraId="3217832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Observation 2: according to RAN2 agreements, only </w:t>
      </w:r>
      <w:r>
        <w:rPr>
          <w:rFonts w:hint="eastAsia" w:ascii="Times New Roman" w:hAnsi="Times New Roman"/>
          <w:b/>
          <w:bCs/>
          <w:i/>
          <w:iCs/>
          <w:sz w:val="20"/>
          <w:szCs w:val="20"/>
          <w:lang w:val="en-US" w:eastAsia="zh-CN"/>
        </w:rPr>
        <w:t>“Inventory only” and “Inventory and command”</w:t>
      </w:r>
      <w:r>
        <w:rPr>
          <w:rFonts w:hint="eastAsia" w:ascii="Times New Roman" w:hAnsi="Times New Roman" w:cs="Times New Roman"/>
          <w:b/>
          <w:bCs/>
          <w:i/>
          <w:iCs/>
          <w:sz w:val="20"/>
          <w:szCs w:val="20"/>
          <w:highlight w:val="none"/>
          <w:lang w:val="en-US" w:eastAsia="zh-CN"/>
        </w:rPr>
        <w:t>are considered in Rel-19 WI.</w:t>
      </w:r>
    </w:p>
    <w:p w14:paraId="0904739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b/>
          <w:bCs/>
          <w:i/>
          <w:iCs/>
          <w:sz w:val="20"/>
          <w:szCs w:val="20"/>
          <w:lang w:val="en-US" w:eastAsia="zh-CN"/>
        </w:rPr>
        <w:t xml:space="preserve">Proposal 1: it is proposed to define RRM requirements for A-IoT random access procedure. </w:t>
      </w:r>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C60A1B9">
      <w:pPr>
        <w:pStyle w:val="14"/>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50796</w:t>
      </w:r>
      <w:r>
        <w:rPr>
          <w:rFonts w:ascii="Times" w:hAnsi="Times" w:eastAsia="宋体"/>
          <w:b w:val="0"/>
          <w:sz w:val="20"/>
          <w:lang w:eastAsia="zh-CN"/>
        </w:rPr>
        <w:t xml:space="preserve">, </w:t>
      </w:r>
      <w:r>
        <w:rPr>
          <w:rFonts w:hint="eastAsia" w:ascii="Times" w:hAnsi="Times" w:eastAsia="宋体"/>
          <w:b w:val="0"/>
          <w:sz w:val="20"/>
          <w:lang w:eastAsia="zh-CN"/>
        </w:rPr>
        <w:t>Revised WID: New Work Item: Solutions for Ambient IoT (Internet of Things) in NR</w:t>
      </w:r>
      <w:r>
        <w:rPr>
          <w:rFonts w:hint="eastAsia" w:ascii="Times" w:hAnsi="Times" w:eastAsia="宋体"/>
          <w:b w:val="0"/>
          <w:sz w:val="20"/>
          <w:lang w:val="en-US" w:eastAsia="zh-CN"/>
        </w:rPr>
        <w:t>, CMCC, Huawei, T-Mobile USA Inc</w:t>
      </w:r>
    </w:p>
    <w:p w14:paraId="24E42CB0">
      <w:pPr>
        <w:pStyle w:val="14"/>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4"/>
        <w:framePr w:wrap="auto" w:vAnchor="margin" w:hAnchor="text" w:yAlign="inline"/>
        <w:ind w:right="400"/>
        <w:jc w:val="both"/>
        <w:rPr>
          <w:rFonts w:ascii="Times" w:hAnsi="Times" w:eastAsia="宋体"/>
          <w:b w:val="0"/>
          <w:sz w:val="20"/>
          <w:lang w:eastAsia="zh-CN"/>
        </w:rPr>
      </w:pPr>
    </w:p>
    <w:p w14:paraId="0A523C19">
      <w:pPr>
        <w:pStyle w:val="14"/>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B35C43"/>
    <w:multiLevelType w:val="multilevel"/>
    <w:tmpl w:val="10B35C43"/>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94D4F75"/>
    <w:multiLevelType w:val="singleLevel"/>
    <w:tmpl w:val="594D4F75"/>
    <w:lvl w:ilvl="0" w:tentative="0">
      <w:start w:val="1"/>
      <w:numFmt w:val="decimal"/>
      <w:suff w:val="space"/>
      <w:lvlText w:val="%1."/>
      <w:lvlJc w:val="left"/>
    </w:lvl>
  </w:abstractNum>
  <w:abstractNum w:abstractNumId="6">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2"/>
  </w:num>
  <w:num w:numId="3">
    <w:abstractNumId w:val="6"/>
  </w:num>
  <w:num w:numId="4">
    <w:abstractNumId w:val="4"/>
  </w:num>
  <w:num w:numId="5">
    <w:abstractNumId w:val="0"/>
  </w:num>
  <w:num w:numId="6">
    <w:abstractNumId w:val="3"/>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4508A"/>
    <w:rsid w:val="01AF6A99"/>
    <w:rsid w:val="06A50B76"/>
    <w:rsid w:val="06BB2083"/>
    <w:rsid w:val="08375E63"/>
    <w:rsid w:val="08D72A91"/>
    <w:rsid w:val="0A7A49BE"/>
    <w:rsid w:val="0A922065"/>
    <w:rsid w:val="0BB44D87"/>
    <w:rsid w:val="0CD8520D"/>
    <w:rsid w:val="0DD40EBD"/>
    <w:rsid w:val="0E367C5D"/>
    <w:rsid w:val="11604C92"/>
    <w:rsid w:val="11D129C7"/>
    <w:rsid w:val="12236F4E"/>
    <w:rsid w:val="13057541"/>
    <w:rsid w:val="19A91D8B"/>
    <w:rsid w:val="19CE05F3"/>
    <w:rsid w:val="1B65127F"/>
    <w:rsid w:val="1CB317C0"/>
    <w:rsid w:val="1FCF11BE"/>
    <w:rsid w:val="20282B52"/>
    <w:rsid w:val="20372402"/>
    <w:rsid w:val="208805ED"/>
    <w:rsid w:val="22ED6B5D"/>
    <w:rsid w:val="29EC29E9"/>
    <w:rsid w:val="2A552882"/>
    <w:rsid w:val="2BD8717A"/>
    <w:rsid w:val="2CB20162"/>
    <w:rsid w:val="2D2B45A9"/>
    <w:rsid w:val="2E8A1F67"/>
    <w:rsid w:val="2FCE1F78"/>
    <w:rsid w:val="31174DA4"/>
    <w:rsid w:val="31E51409"/>
    <w:rsid w:val="32886F74"/>
    <w:rsid w:val="33552E44"/>
    <w:rsid w:val="3555506A"/>
    <w:rsid w:val="37187417"/>
    <w:rsid w:val="38A21551"/>
    <w:rsid w:val="3B8D0A22"/>
    <w:rsid w:val="3C0E0A5C"/>
    <w:rsid w:val="3EC83B67"/>
    <w:rsid w:val="3F0D09C6"/>
    <w:rsid w:val="3F3E1E72"/>
    <w:rsid w:val="3FE206D5"/>
    <w:rsid w:val="40BB4940"/>
    <w:rsid w:val="40C377CE"/>
    <w:rsid w:val="41C932CA"/>
    <w:rsid w:val="43247753"/>
    <w:rsid w:val="43394480"/>
    <w:rsid w:val="44767BDF"/>
    <w:rsid w:val="44FF5255"/>
    <w:rsid w:val="46CC1F51"/>
    <w:rsid w:val="46ED24A2"/>
    <w:rsid w:val="487E0D7E"/>
    <w:rsid w:val="4AD7736C"/>
    <w:rsid w:val="4B8A3F84"/>
    <w:rsid w:val="4CD27092"/>
    <w:rsid w:val="4D416DCE"/>
    <w:rsid w:val="4D594475"/>
    <w:rsid w:val="4FDF2F1A"/>
    <w:rsid w:val="514E65F3"/>
    <w:rsid w:val="532C2301"/>
    <w:rsid w:val="572A2B91"/>
    <w:rsid w:val="578135A0"/>
    <w:rsid w:val="5ACF2987"/>
    <w:rsid w:val="5CCE66D5"/>
    <w:rsid w:val="5E3A5D61"/>
    <w:rsid w:val="5FD0250C"/>
    <w:rsid w:val="603B0CB0"/>
    <w:rsid w:val="60541D9A"/>
    <w:rsid w:val="620C10EB"/>
    <w:rsid w:val="624C0D43"/>
    <w:rsid w:val="63504103"/>
    <w:rsid w:val="63F97611"/>
    <w:rsid w:val="665A5356"/>
    <w:rsid w:val="6684087E"/>
    <w:rsid w:val="67125837"/>
    <w:rsid w:val="681151C8"/>
    <w:rsid w:val="6BC309B6"/>
    <w:rsid w:val="6D6E1218"/>
    <w:rsid w:val="70EF3E1D"/>
    <w:rsid w:val="74B46F86"/>
    <w:rsid w:val="74BC5500"/>
    <w:rsid w:val="759E7B54"/>
    <w:rsid w:val="76542E2F"/>
    <w:rsid w:val="76B367FD"/>
    <w:rsid w:val="776F2970"/>
    <w:rsid w:val="78417632"/>
    <w:rsid w:val="7AAC00BD"/>
    <w:rsid w:val="7B4836CD"/>
    <w:rsid w:val="7D6C7155"/>
    <w:rsid w:val="7D997FC8"/>
    <w:rsid w:val="7DC1309B"/>
    <w:rsid w:val="7DF870B2"/>
    <w:rsid w:val="7E2F6E92"/>
    <w:rsid w:val="7F0326EE"/>
    <w:rsid w:val="7F673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TH"/>
    <w:basedOn w:val="1"/>
    <w:qFormat/>
    <w:uiPriority w:val="0"/>
    <w:pPr>
      <w:keepNext/>
      <w:keepLines/>
      <w:spacing w:before="60"/>
      <w:jc w:val="center"/>
    </w:pPr>
    <w:rPr>
      <w:rFonts w:ascii="Arial" w:hAnsi="Arial"/>
      <w:b/>
    </w:rPr>
  </w:style>
  <w:style w:type="paragraph" w:customStyle="1" w:styleId="16">
    <w:name w:val="TAH"/>
    <w:basedOn w:val="17"/>
    <w:qFormat/>
    <w:uiPriority w:val="0"/>
    <w:rPr>
      <w:b/>
    </w:rPr>
  </w:style>
  <w:style w:type="paragraph" w:customStyle="1" w:styleId="17">
    <w:name w:val="TAC"/>
    <w:basedOn w:val="18"/>
    <w:qFormat/>
    <w:uiPriority w:val="0"/>
    <w:pPr>
      <w:jc w:val="center"/>
    </w:pPr>
  </w:style>
  <w:style w:type="paragraph" w:customStyle="1" w:styleId="18">
    <w:name w:val="TAL"/>
    <w:basedOn w:val="1"/>
    <w:qFormat/>
    <w:uiPriority w:val="0"/>
    <w:pPr>
      <w:keepNext/>
      <w:keepLines/>
      <w:spacing w:after="0"/>
    </w:pPr>
    <w:rPr>
      <w:rFonts w:ascii="Arial" w:hAnsi="Arial"/>
      <w:sz w:val="18"/>
    </w:rPr>
  </w:style>
  <w:style w:type="paragraph" w:customStyle="1" w:styleId="19">
    <w:name w:val="TAN"/>
    <w:basedOn w:val="18"/>
    <w:qFormat/>
    <w:uiPriority w:val="0"/>
    <w:pPr>
      <w:ind w:left="851" w:hanging="851"/>
    </w:pPr>
  </w:style>
  <w:style w:type="paragraph" w:customStyle="1" w:styleId="20">
    <w:name w:val="B2"/>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2025-03-28T07:40:51Z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D7914810C25943A9B23237FB063E3B17</vt:lpwstr>
  </property>
</Properties>
</file>